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F9F" w:rsidRPr="00494F9F" w:rsidRDefault="00494F9F" w:rsidP="00494F9F">
      <w:pPr>
        <w:spacing w:after="0"/>
        <w:jc w:val="center"/>
        <w:rPr>
          <w:b/>
        </w:rPr>
      </w:pPr>
      <w:bookmarkStart w:id="0" w:name="_GoBack"/>
      <w:bookmarkEnd w:id="0"/>
      <w:r w:rsidRPr="00494F9F">
        <w:rPr>
          <w:b/>
        </w:rPr>
        <w:t>Tax II: The Taxation</w:t>
      </w:r>
    </w:p>
    <w:p w:rsidR="00494F9F" w:rsidRPr="00494F9F" w:rsidRDefault="00494F9F" w:rsidP="00494F9F">
      <w:pPr>
        <w:spacing w:after="0"/>
        <w:jc w:val="center"/>
        <w:rPr>
          <w:b/>
        </w:rPr>
      </w:pPr>
      <w:proofErr w:type="gramStart"/>
      <w:r w:rsidRPr="00494F9F">
        <w:rPr>
          <w:b/>
        </w:rPr>
        <w:t>of</w:t>
      </w:r>
      <w:proofErr w:type="gramEnd"/>
      <w:r w:rsidRPr="00494F9F">
        <w:rPr>
          <w:b/>
        </w:rPr>
        <w:t xml:space="preserve"> Business Enterprises</w:t>
      </w:r>
    </w:p>
    <w:p w:rsidR="00494F9F" w:rsidRPr="00494F9F" w:rsidRDefault="00494F9F" w:rsidP="00494F9F">
      <w:pPr>
        <w:spacing w:after="0"/>
        <w:jc w:val="center"/>
        <w:rPr>
          <w:b/>
        </w:rPr>
      </w:pPr>
      <w:r w:rsidRPr="00494F9F">
        <w:rPr>
          <w:b/>
        </w:rPr>
        <w:t>Law 697:61</w:t>
      </w:r>
    </w:p>
    <w:p w:rsidR="00494F9F" w:rsidRPr="00494F9F" w:rsidRDefault="00494F9F" w:rsidP="00494F9F">
      <w:pPr>
        <w:spacing w:after="0"/>
        <w:jc w:val="center"/>
        <w:rPr>
          <w:b/>
        </w:rPr>
      </w:pPr>
      <w:smartTag w:uri="urn:schemas-microsoft-com:office:smarttags" w:element="place">
        <w:smartTag w:uri="urn:schemas-microsoft-com:office:smarttags" w:element="PlaceName">
          <w:r w:rsidRPr="00494F9F">
            <w:rPr>
              <w:b/>
            </w:rPr>
            <w:t>Cleveland</w:t>
          </w:r>
        </w:smartTag>
        <w:r w:rsidRPr="00494F9F">
          <w:rPr>
            <w:b/>
          </w:rPr>
          <w:t xml:space="preserve"> </w:t>
        </w:r>
        <w:smartTag w:uri="urn:schemas-microsoft-com:office:smarttags" w:element="PlaceType">
          <w:r w:rsidRPr="00494F9F">
            <w:rPr>
              <w:b/>
            </w:rPr>
            <w:t>State</w:t>
          </w:r>
        </w:smartTag>
        <w:r w:rsidRPr="00494F9F">
          <w:rPr>
            <w:b/>
          </w:rPr>
          <w:t xml:space="preserve"> </w:t>
        </w:r>
        <w:smartTag w:uri="urn:schemas-microsoft-com:office:smarttags" w:element="PlaceType">
          <w:r w:rsidRPr="00494F9F">
            <w:rPr>
              <w:b/>
            </w:rPr>
            <w:t>University</w:t>
          </w:r>
        </w:smartTag>
      </w:smartTag>
    </w:p>
    <w:p w:rsidR="00494F9F" w:rsidRPr="00494F9F" w:rsidRDefault="00494F9F" w:rsidP="00494F9F">
      <w:pPr>
        <w:spacing w:after="0"/>
        <w:jc w:val="center"/>
      </w:pPr>
      <w:r w:rsidRPr="00494F9F">
        <w:rPr>
          <w:b/>
        </w:rPr>
        <w:t>Cleveland Marshall College of Law</w:t>
      </w:r>
    </w:p>
    <w:p w:rsidR="00494F9F" w:rsidRPr="00494F9F" w:rsidRDefault="00494F9F" w:rsidP="00494F9F">
      <w:pPr>
        <w:jc w:val="center"/>
      </w:pPr>
      <w:r w:rsidRPr="00494F9F">
        <w:t>Spring 2020                                                                         Mon &amp; Wed    7:30-9:10 p.m.</w:t>
      </w:r>
    </w:p>
    <w:p w:rsidR="00494F9F" w:rsidRPr="00494F9F" w:rsidRDefault="00494F9F" w:rsidP="00494F9F">
      <w:pPr>
        <w:jc w:val="center"/>
      </w:pPr>
      <w:r w:rsidRPr="00494F9F">
        <w:t xml:space="preserve">Patricia M. </w:t>
      </w:r>
      <w:proofErr w:type="spellStart"/>
      <w:r w:rsidRPr="00494F9F">
        <w:t>Ritzert</w:t>
      </w:r>
      <w:proofErr w:type="spellEnd"/>
      <w:r w:rsidRPr="00494F9F">
        <w:t xml:space="preserve">, JD, </w:t>
      </w:r>
      <w:proofErr w:type="spellStart"/>
      <w:r w:rsidRPr="00494F9F">
        <w:t>MTax</w:t>
      </w:r>
      <w:proofErr w:type="spellEnd"/>
      <w:r w:rsidRPr="00494F9F">
        <w:t>, LL.M., Adjunct Professor</w:t>
      </w:r>
    </w:p>
    <w:p w:rsidR="00494F9F" w:rsidRPr="00494F9F" w:rsidRDefault="00494F9F" w:rsidP="00494F9F">
      <w:pPr>
        <w:spacing w:after="0"/>
        <w:jc w:val="center"/>
        <w:rPr>
          <w:b/>
        </w:rPr>
      </w:pPr>
      <w:r w:rsidRPr="00494F9F">
        <w:rPr>
          <w:b/>
        </w:rPr>
        <w:t>The Monday January 20 class meeting is moved to Tuesday JANUARY 21</w:t>
      </w:r>
    </w:p>
    <w:p w:rsidR="00494F9F" w:rsidRPr="00494F9F" w:rsidRDefault="00494F9F" w:rsidP="00494F9F">
      <w:pPr>
        <w:spacing w:after="0"/>
        <w:jc w:val="center"/>
        <w:rPr>
          <w:b/>
        </w:rPr>
      </w:pPr>
      <w:r w:rsidRPr="00494F9F">
        <w:rPr>
          <w:b/>
        </w:rPr>
        <w:t>(Monday (Jan 20) classes are moved to Tuesday due to MLK Day; Tuesday classes not held)</w:t>
      </w:r>
    </w:p>
    <w:p w:rsidR="00494F9F" w:rsidRPr="00494F9F" w:rsidRDefault="00494F9F" w:rsidP="00494F9F">
      <w:pPr>
        <w:spacing w:after="0"/>
        <w:jc w:val="center"/>
        <w:rPr>
          <w:b/>
        </w:rPr>
      </w:pPr>
      <w:r w:rsidRPr="00494F9F">
        <w:rPr>
          <w:b/>
        </w:rPr>
        <w:t>NO CLASS MEETING ON FEBRUARY 17</w:t>
      </w:r>
    </w:p>
    <w:p w:rsidR="00494F9F" w:rsidRPr="00494F9F" w:rsidRDefault="00494F9F" w:rsidP="00494F9F">
      <w:pPr>
        <w:spacing w:after="0"/>
        <w:jc w:val="center"/>
        <w:rPr>
          <w:b/>
        </w:rPr>
      </w:pPr>
      <w:r w:rsidRPr="00494F9F">
        <w:rPr>
          <w:b/>
        </w:rPr>
        <w:t>(Monday Feb 17 classes are canceled for Presidents’ Day)</w:t>
      </w:r>
    </w:p>
    <w:p w:rsidR="00494F9F" w:rsidRPr="00494F9F" w:rsidRDefault="00494F9F" w:rsidP="00494F9F">
      <w:r w:rsidRPr="00494F9F">
        <w:rPr>
          <w:b/>
          <w:u w:val="single"/>
        </w:rPr>
        <w:t>Required Texts</w:t>
      </w:r>
    </w:p>
    <w:p w:rsidR="00494F9F" w:rsidRPr="00494F9F" w:rsidRDefault="00494F9F" w:rsidP="00494F9F">
      <w:pPr>
        <w:rPr>
          <w:i/>
        </w:rPr>
      </w:pPr>
      <w:r w:rsidRPr="00494F9F">
        <w:rPr>
          <w:i/>
        </w:rPr>
        <w:t xml:space="preserve"> Introduction to the Taxation of Business Organizations and Choice of Entity</w:t>
      </w:r>
    </w:p>
    <w:p w:rsidR="00494F9F" w:rsidRPr="00494F9F" w:rsidRDefault="00494F9F" w:rsidP="00494F9F">
      <w:pPr>
        <w:spacing w:after="0"/>
      </w:pPr>
      <w:proofErr w:type="gramStart"/>
      <w:r w:rsidRPr="00494F9F">
        <w:t>by</w:t>
      </w:r>
      <w:proofErr w:type="gramEnd"/>
      <w:r w:rsidRPr="00494F9F">
        <w:t> </w:t>
      </w:r>
      <w:hyperlink r:id="rId5" w:history="1">
        <w:r w:rsidRPr="00494F9F">
          <w:rPr>
            <w:rStyle w:val="Hyperlink"/>
          </w:rPr>
          <w:t>J. Martin Burke</w:t>
        </w:r>
      </w:hyperlink>
      <w:r w:rsidRPr="00494F9F">
        <w:t>, </w:t>
      </w:r>
      <w:hyperlink r:id="rId6" w:history="1">
        <w:r w:rsidRPr="00494F9F">
          <w:rPr>
            <w:rStyle w:val="Hyperlink"/>
          </w:rPr>
          <w:t xml:space="preserve">Michael K. </w:t>
        </w:r>
        <w:proofErr w:type="spellStart"/>
        <w:r w:rsidRPr="00494F9F">
          <w:rPr>
            <w:rStyle w:val="Hyperlink"/>
          </w:rPr>
          <w:t>Friel</w:t>
        </w:r>
        <w:proofErr w:type="spellEnd"/>
      </w:hyperlink>
      <w:r w:rsidRPr="00494F9F">
        <w:t xml:space="preserve">   (2018 Carolina Academic Press)</w:t>
      </w:r>
    </w:p>
    <w:p w:rsidR="00494F9F" w:rsidRDefault="00494F9F" w:rsidP="00494F9F">
      <w:pPr>
        <w:spacing w:after="0"/>
      </w:pPr>
      <w:r w:rsidRPr="00494F9F">
        <w:t>ISBN978-1-5310-0422-4e-ISBN978-1-5310-0423-1Looseleaf978-1-5310-1169-7</w:t>
      </w:r>
    </w:p>
    <w:p w:rsidR="00494F9F" w:rsidRPr="00494F9F" w:rsidRDefault="00494F9F" w:rsidP="00494F9F">
      <w:pPr>
        <w:spacing w:after="0"/>
      </w:pPr>
    </w:p>
    <w:p w:rsidR="00494F9F" w:rsidRPr="00494F9F" w:rsidRDefault="00494F9F" w:rsidP="00494F9F">
      <w:r w:rsidRPr="00494F9F">
        <w:rPr>
          <w:i/>
        </w:rPr>
        <w:t>Selected Federal Taxation—Statutes and Regulations</w:t>
      </w:r>
      <w:r w:rsidRPr="00494F9F">
        <w:t>—2020 ed. (West Pub.)</w:t>
      </w:r>
      <w:r>
        <w:t xml:space="preserve"> </w:t>
      </w:r>
      <w:proofErr w:type="spellStart"/>
      <w:r>
        <w:t>Lathrope</w:t>
      </w:r>
      <w:proofErr w:type="spellEnd"/>
      <w:r>
        <w:t xml:space="preserve">, </w:t>
      </w:r>
      <w:proofErr w:type="gramStart"/>
      <w:r>
        <w:t>ed</w:t>
      </w:r>
      <w:proofErr w:type="gramEnd"/>
      <w:r>
        <w:t>.</w:t>
      </w:r>
      <w:r w:rsidRPr="00494F9F">
        <w:tab/>
      </w:r>
    </w:p>
    <w:p w:rsidR="00494F9F" w:rsidRPr="00494F9F" w:rsidRDefault="00494F9F" w:rsidP="00494F9F">
      <w:pPr>
        <w:rPr>
          <w:u w:val="single"/>
        </w:rPr>
      </w:pPr>
      <w:r w:rsidRPr="00494F9F">
        <w:tab/>
        <w:t xml:space="preserve">NOTE:  This collection of U.S. Code sections and Treasury Regulations contains every code section and </w:t>
      </w:r>
      <w:r>
        <w:t xml:space="preserve">regulation you need for this </w:t>
      </w:r>
      <w:r>
        <w:tab/>
      </w:r>
      <w:r>
        <w:tab/>
      </w:r>
      <w:r w:rsidRPr="00494F9F">
        <w:t xml:space="preserve">course. You will refer to it frequently at home and in class.  It is updated annually; you can get by with the 2019 edition.  Please read the </w:t>
      </w:r>
      <w:r>
        <w:tab/>
      </w:r>
      <w:r w:rsidRPr="00494F9F">
        <w:t>assigned Code sections before class, and bring your Code to class.</w:t>
      </w:r>
    </w:p>
    <w:p w:rsidR="00494F9F" w:rsidRPr="00494F9F" w:rsidRDefault="00494F9F" w:rsidP="00494F9F">
      <w:r w:rsidRPr="00494F9F">
        <w:rPr>
          <w:b/>
          <w:u w:val="single"/>
        </w:rPr>
        <w:t>Optional Texts</w:t>
      </w:r>
      <w:r w:rsidRPr="00494F9F">
        <w:t xml:space="preserve">      The optional texts are suggested for the more direct explanations of the Internal Revenue Code provisions and relevant interpretations provided in these resources</w:t>
      </w:r>
      <w:r w:rsidRPr="00494F9F">
        <w:rPr>
          <w:i/>
        </w:rPr>
        <w:t>.</w:t>
      </w:r>
    </w:p>
    <w:p w:rsidR="00494F9F" w:rsidRPr="00494F9F" w:rsidRDefault="00494F9F" w:rsidP="00494F9F">
      <w:pPr>
        <w:rPr>
          <w:bCs/>
        </w:rPr>
      </w:pPr>
      <w:r w:rsidRPr="00494F9F">
        <w:t xml:space="preserve">- </w:t>
      </w:r>
      <w:r w:rsidRPr="00494F9F">
        <w:rPr>
          <w:bCs/>
          <w:i/>
        </w:rPr>
        <w:t>The Logic of Subchapter K, A Conceptual Guide to the Taxation of Partnerships,</w:t>
      </w:r>
      <w:r w:rsidRPr="00494F9F">
        <w:rPr>
          <w:bCs/>
        </w:rPr>
        <w:t xml:space="preserve"> 6</w:t>
      </w:r>
      <w:r w:rsidRPr="00494F9F">
        <w:rPr>
          <w:bCs/>
          <w:vertAlign w:val="superscript"/>
        </w:rPr>
        <w:t>th</w:t>
      </w:r>
      <w:r w:rsidRPr="00494F9F">
        <w:rPr>
          <w:bCs/>
        </w:rPr>
        <w:t xml:space="preserve"> ed. by Laura E. and Noel B. Cunningham (West Academic Pub.) ISBN</w:t>
      </w:r>
      <w:r w:rsidRPr="00494F9F">
        <w:rPr>
          <w:b/>
          <w:bCs/>
        </w:rPr>
        <w:t>:</w:t>
      </w:r>
      <w:r w:rsidRPr="00494F9F">
        <w:t> 9781642429794</w:t>
      </w:r>
    </w:p>
    <w:p w:rsidR="00494F9F" w:rsidRPr="00494F9F" w:rsidRDefault="00494F9F" w:rsidP="00494F9F">
      <w:r w:rsidRPr="00494F9F">
        <w:rPr>
          <w:bCs/>
        </w:rPr>
        <w:tab/>
        <w:t xml:space="preserve">NOTE:  This </w:t>
      </w:r>
      <w:r w:rsidRPr="00494F9F">
        <w:rPr>
          <w:bCs/>
          <w:i/>
        </w:rPr>
        <w:t>Logic</w:t>
      </w:r>
      <w:r w:rsidRPr="00494F9F">
        <w:rPr>
          <w:bCs/>
        </w:rPr>
        <w:t xml:space="preserve"> is a new edition released December 26, 2019.</w:t>
      </w:r>
    </w:p>
    <w:p w:rsidR="009B79CA" w:rsidRDefault="009B79CA" w:rsidP="00494F9F"/>
    <w:p w:rsidR="00494F9F" w:rsidRDefault="00494F9F" w:rsidP="00494F9F"/>
    <w:tbl>
      <w:tblPr>
        <w:tblStyle w:val="TableGrid"/>
        <w:tblpPr w:leftFromText="180" w:rightFromText="180" w:horzAnchor="margin" w:tblpXSpec="center" w:tblpY="915"/>
        <w:tblW w:w="14170" w:type="dxa"/>
        <w:tblBorders>
          <w:insideV w:val="none" w:sz="0" w:space="0" w:color="auto"/>
        </w:tblBorders>
        <w:tblCellMar>
          <w:top w:w="58" w:type="dxa"/>
          <w:left w:w="58" w:type="dxa"/>
          <w:bottom w:w="58" w:type="dxa"/>
          <w:right w:w="58" w:type="dxa"/>
        </w:tblCellMar>
        <w:tblLook w:val="04A0" w:firstRow="1" w:lastRow="0" w:firstColumn="1" w:lastColumn="0" w:noHBand="0" w:noVBand="1"/>
      </w:tblPr>
      <w:tblGrid>
        <w:gridCol w:w="854"/>
        <w:gridCol w:w="758"/>
        <w:gridCol w:w="623"/>
        <w:gridCol w:w="3711"/>
        <w:gridCol w:w="8224"/>
      </w:tblGrid>
      <w:tr w:rsidR="00494F9F" w:rsidRPr="00FF355C" w:rsidTr="007145FD">
        <w:trPr>
          <w:cantSplit/>
        </w:trPr>
        <w:tc>
          <w:tcPr>
            <w:tcW w:w="856" w:type="dxa"/>
            <w:tcBorders>
              <w:bottom w:val="single" w:sz="4" w:space="0" w:color="auto"/>
              <w:right w:val="single" w:sz="4" w:space="0" w:color="auto"/>
            </w:tcBorders>
            <w:shd w:val="pct10" w:color="auto" w:fill="FFFFFF" w:themeFill="background1"/>
          </w:tcPr>
          <w:p w:rsidR="00494F9F" w:rsidRDefault="00494F9F" w:rsidP="007145FD">
            <w:pPr>
              <w:jc w:val="center"/>
            </w:pPr>
            <w:r>
              <w:t>#1</w:t>
            </w:r>
          </w:p>
        </w:tc>
        <w:tc>
          <w:tcPr>
            <w:tcW w:w="759" w:type="dxa"/>
            <w:tcBorders>
              <w:left w:val="single" w:sz="4" w:space="0" w:color="auto"/>
              <w:bottom w:val="single" w:sz="4" w:space="0" w:color="auto"/>
              <w:right w:val="single" w:sz="4" w:space="0" w:color="auto"/>
            </w:tcBorders>
            <w:shd w:val="pct10" w:color="auto" w:fill="FFFFFF" w:themeFill="background1"/>
          </w:tcPr>
          <w:p w:rsidR="00494F9F" w:rsidRDefault="00494F9F" w:rsidP="007145FD">
            <w:pPr>
              <w:jc w:val="center"/>
            </w:pPr>
            <w:r>
              <w:t xml:space="preserve">Mon          </w:t>
            </w:r>
          </w:p>
        </w:tc>
        <w:tc>
          <w:tcPr>
            <w:tcW w:w="624" w:type="dxa"/>
            <w:tcBorders>
              <w:left w:val="single" w:sz="4" w:space="0" w:color="auto"/>
              <w:bottom w:val="single" w:sz="4" w:space="0" w:color="auto"/>
              <w:right w:val="single" w:sz="4" w:space="0" w:color="auto"/>
            </w:tcBorders>
            <w:shd w:val="pct10" w:color="auto" w:fill="FFFFFF" w:themeFill="background1"/>
          </w:tcPr>
          <w:p w:rsidR="00494F9F" w:rsidRDefault="00494F9F" w:rsidP="007145FD">
            <w:pPr>
              <w:jc w:val="center"/>
            </w:pPr>
            <w:r w:rsidRPr="00E60E80">
              <w:rPr>
                <w:b/>
              </w:rPr>
              <w:t>Jan</w:t>
            </w:r>
            <w:r>
              <w:t xml:space="preserve"> 13</w:t>
            </w:r>
          </w:p>
        </w:tc>
        <w:tc>
          <w:tcPr>
            <w:tcW w:w="3678" w:type="dxa"/>
            <w:tcBorders>
              <w:left w:val="single" w:sz="4" w:space="0" w:color="auto"/>
              <w:bottom w:val="single" w:sz="4" w:space="0" w:color="auto"/>
              <w:right w:val="single" w:sz="4" w:space="0" w:color="auto"/>
            </w:tcBorders>
            <w:shd w:val="pct10" w:color="auto" w:fill="FFFFFF" w:themeFill="background1"/>
          </w:tcPr>
          <w:p w:rsidR="00494F9F" w:rsidRDefault="00494F9F" w:rsidP="007145FD">
            <w:r>
              <w:t>FIRST CLASS  ASSIGNMENT</w:t>
            </w:r>
          </w:p>
          <w:p w:rsidR="00494F9F" w:rsidRDefault="00494F9F" w:rsidP="007145FD"/>
          <w:p w:rsidR="00494F9F" w:rsidRDefault="00494F9F" w:rsidP="007145FD">
            <w:r>
              <w:t>Organization of the Internal Revenue Code.</w:t>
            </w:r>
          </w:p>
          <w:p w:rsidR="00494F9F" w:rsidRDefault="00494F9F" w:rsidP="007145FD"/>
          <w:p w:rsidR="00494F9F" w:rsidRDefault="00494F9F" w:rsidP="007145FD">
            <w:r>
              <w:t>Business entities compared.</w:t>
            </w:r>
          </w:p>
          <w:p w:rsidR="00494F9F" w:rsidRDefault="00494F9F" w:rsidP="007145FD"/>
          <w:p w:rsidR="00494F9F" w:rsidRDefault="00494F9F" w:rsidP="007145FD">
            <w:pPr>
              <w:rPr>
                <w:rFonts w:eastAsia="Calibri" w:cs="Times New Roman"/>
                <w:sz w:val="24"/>
                <w:szCs w:val="24"/>
              </w:rPr>
            </w:pPr>
            <w:r>
              <w:t>Basic concepts from Tax I reviewed:</w:t>
            </w:r>
            <w:r w:rsidRPr="00EC22E7">
              <w:rPr>
                <w:rFonts w:eastAsia="Calibri" w:cs="Times New Roman"/>
                <w:sz w:val="24"/>
                <w:szCs w:val="24"/>
              </w:rPr>
              <w:t xml:space="preserve"> </w:t>
            </w:r>
          </w:p>
          <w:p w:rsidR="00494F9F" w:rsidRDefault="00494F9F" w:rsidP="007145FD">
            <w:pPr>
              <w:rPr>
                <w:rFonts w:eastAsia="Calibri" w:cs="Times New Roman"/>
                <w:sz w:val="24"/>
                <w:szCs w:val="24"/>
              </w:rPr>
            </w:pPr>
            <w:r w:rsidRPr="00EC22E7">
              <w:rPr>
                <w:rFonts w:eastAsia="Calibri" w:cs="Times New Roman"/>
                <w:sz w:val="24"/>
                <w:szCs w:val="24"/>
              </w:rPr>
              <w:t>Concepts important to recall from Tax 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1674"/>
              <w:gridCol w:w="1921"/>
            </w:tblGrid>
            <w:tr w:rsidR="00494F9F" w:rsidTr="007145FD">
              <w:tc>
                <w:tcPr>
                  <w:tcW w:w="2033" w:type="dxa"/>
                </w:tcPr>
                <w:p w:rsidR="00494F9F" w:rsidRPr="00EC22E7" w:rsidRDefault="00494F9F" w:rsidP="00017C91">
                  <w:pPr>
                    <w:framePr w:hSpace="180" w:wrap="around" w:hAnchor="margin" w:xAlign="center" w:y="915"/>
                    <w:numPr>
                      <w:ilvl w:val="0"/>
                      <w:numId w:val="1"/>
                    </w:numPr>
                    <w:tabs>
                      <w:tab w:val="left" w:pos="1"/>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Calibri" w:cs="Times New Roman"/>
                      <w:sz w:val="24"/>
                      <w:szCs w:val="24"/>
                    </w:rPr>
                  </w:pPr>
                  <w:r w:rsidRPr="00EC22E7">
                    <w:rPr>
                      <w:rFonts w:eastAsia="Calibri" w:cs="Times New Roman"/>
                      <w:sz w:val="24"/>
                      <w:szCs w:val="24"/>
                    </w:rPr>
                    <w:t xml:space="preserve">Basis </w:t>
                  </w:r>
                </w:p>
                <w:p w:rsidR="00494F9F" w:rsidRPr="00EC22E7" w:rsidRDefault="00494F9F" w:rsidP="00017C91">
                  <w:pPr>
                    <w:framePr w:hSpace="180" w:wrap="around" w:hAnchor="margin" w:xAlign="center" w:y="915"/>
                    <w:numPr>
                      <w:ilvl w:val="0"/>
                      <w:numId w:val="1"/>
                    </w:numPr>
                    <w:tabs>
                      <w:tab w:val="left" w:pos="1"/>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Calibri" w:cs="Times New Roman"/>
                      <w:sz w:val="24"/>
                      <w:szCs w:val="24"/>
                    </w:rPr>
                  </w:pPr>
                  <w:r w:rsidRPr="00EC22E7">
                    <w:rPr>
                      <w:rFonts w:eastAsia="Calibri" w:cs="Times New Roman"/>
                      <w:sz w:val="24"/>
                      <w:szCs w:val="24"/>
                    </w:rPr>
                    <w:t xml:space="preserve">Ordinary income vs. capital gain </w:t>
                  </w:r>
                </w:p>
                <w:p w:rsidR="00494F9F" w:rsidRPr="00EC22E7" w:rsidRDefault="00494F9F" w:rsidP="00017C91">
                  <w:pPr>
                    <w:framePr w:hSpace="180" w:wrap="around" w:hAnchor="margin" w:xAlign="center" w:y="915"/>
                    <w:numPr>
                      <w:ilvl w:val="0"/>
                      <w:numId w:val="1"/>
                    </w:numPr>
                    <w:tabs>
                      <w:tab w:val="left" w:pos="1"/>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Calibri" w:cs="Times New Roman"/>
                      <w:sz w:val="24"/>
                      <w:szCs w:val="24"/>
                    </w:rPr>
                  </w:pPr>
                  <w:r w:rsidRPr="00EC22E7">
                    <w:rPr>
                      <w:rFonts w:eastAsia="Calibri" w:cs="Times New Roman"/>
                      <w:sz w:val="24"/>
                      <w:szCs w:val="24"/>
                    </w:rPr>
                    <w:t>How to calculate gain/loss from transactions in property</w:t>
                  </w:r>
                </w:p>
                <w:p w:rsidR="00494F9F" w:rsidRDefault="00494F9F" w:rsidP="00017C91">
                  <w:pPr>
                    <w:framePr w:hSpace="180" w:wrap="around" w:hAnchor="margin" w:xAlign="center" w:y="915"/>
                    <w:numPr>
                      <w:ilvl w:val="0"/>
                      <w:numId w:val="1"/>
                    </w:numPr>
                    <w:tabs>
                      <w:tab w:val="left" w:pos="1"/>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Calibri" w:cs="Times New Roman"/>
                      <w:sz w:val="24"/>
                      <w:szCs w:val="24"/>
                    </w:rPr>
                  </w:pPr>
                  <w:r w:rsidRPr="00EC22E7">
                    <w:rPr>
                      <w:rFonts w:eastAsia="Calibri" w:cs="Times New Roman"/>
                      <w:sz w:val="24"/>
                      <w:szCs w:val="24"/>
                    </w:rPr>
                    <w:t>Gain realized vs. gain recognized</w:t>
                  </w:r>
                </w:p>
                <w:p w:rsidR="00494F9F" w:rsidRPr="00022953" w:rsidRDefault="00494F9F" w:rsidP="00017C91">
                  <w:pPr>
                    <w:pStyle w:val="ListParagraph"/>
                    <w:framePr w:hSpace="180" w:wrap="around" w:hAnchor="margin" w:xAlign="center" w:y="915"/>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Calibri" w:cs="Times New Roman"/>
                      <w:sz w:val="24"/>
                      <w:szCs w:val="24"/>
                    </w:rPr>
                  </w:pPr>
                </w:p>
              </w:tc>
              <w:tc>
                <w:tcPr>
                  <w:tcW w:w="2280" w:type="dxa"/>
                </w:tcPr>
                <w:p w:rsidR="00494F9F" w:rsidRPr="00EC22E7" w:rsidRDefault="00494F9F" w:rsidP="00017C91">
                  <w:pPr>
                    <w:framePr w:hSpace="180" w:wrap="around" w:hAnchor="margin" w:xAlign="center" w:y="915"/>
                    <w:numPr>
                      <w:ilvl w:val="0"/>
                      <w:numId w:val="1"/>
                    </w:numPr>
                    <w:tabs>
                      <w:tab w:val="left" w:pos="1"/>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Calibri" w:cs="Times New Roman"/>
                      <w:sz w:val="24"/>
                      <w:szCs w:val="24"/>
                    </w:rPr>
                  </w:pPr>
                  <w:r w:rsidRPr="00EC22E7">
                    <w:rPr>
                      <w:rFonts w:eastAsia="Calibri" w:cs="Times New Roman"/>
                      <w:sz w:val="24"/>
                      <w:szCs w:val="24"/>
                    </w:rPr>
                    <w:t>Adjusted basis</w:t>
                  </w:r>
                </w:p>
                <w:p w:rsidR="00494F9F" w:rsidRPr="00EC22E7" w:rsidRDefault="00494F9F" w:rsidP="00017C91">
                  <w:pPr>
                    <w:framePr w:hSpace="180" w:wrap="around" w:hAnchor="margin" w:xAlign="center" w:y="915"/>
                    <w:numPr>
                      <w:ilvl w:val="0"/>
                      <w:numId w:val="1"/>
                    </w:numPr>
                    <w:tabs>
                      <w:tab w:val="left" w:pos="1"/>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Calibri" w:cs="Times New Roman"/>
                      <w:sz w:val="24"/>
                      <w:szCs w:val="24"/>
                    </w:rPr>
                  </w:pPr>
                  <w:r w:rsidRPr="00EC22E7">
                    <w:rPr>
                      <w:rFonts w:eastAsia="Calibri" w:cs="Times New Roman"/>
                      <w:sz w:val="24"/>
                      <w:szCs w:val="24"/>
                    </w:rPr>
                    <w:t>Holding period</w:t>
                  </w:r>
                </w:p>
                <w:p w:rsidR="00494F9F" w:rsidRPr="00EC22E7" w:rsidRDefault="00494F9F" w:rsidP="00017C91">
                  <w:pPr>
                    <w:framePr w:hSpace="180" w:wrap="around" w:hAnchor="margin" w:xAlign="center" w:y="915"/>
                    <w:numPr>
                      <w:ilvl w:val="0"/>
                      <w:numId w:val="1"/>
                    </w:numPr>
                    <w:tabs>
                      <w:tab w:val="left" w:pos="1"/>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Calibri" w:cs="Times New Roman"/>
                      <w:sz w:val="24"/>
                      <w:szCs w:val="24"/>
                    </w:rPr>
                  </w:pPr>
                  <w:r w:rsidRPr="00EC22E7">
                    <w:rPr>
                      <w:rFonts w:eastAsia="Calibri" w:cs="Times New Roman"/>
                      <w:sz w:val="24"/>
                      <w:szCs w:val="24"/>
                    </w:rPr>
                    <w:t>Accounting period/taxable year</w:t>
                  </w:r>
                </w:p>
                <w:p w:rsidR="00494F9F" w:rsidRPr="00EC22E7" w:rsidRDefault="00494F9F" w:rsidP="00017C91">
                  <w:pPr>
                    <w:framePr w:hSpace="180" w:wrap="around" w:hAnchor="margin" w:xAlign="center" w:y="915"/>
                    <w:numPr>
                      <w:ilvl w:val="0"/>
                      <w:numId w:val="1"/>
                    </w:numPr>
                    <w:tabs>
                      <w:tab w:val="left" w:pos="1"/>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Calibri" w:cs="Times New Roman"/>
                      <w:sz w:val="24"/>
                      <w:szCs w:val="24"/>
                    </w:rPr>
                  </w:pPr>
                  <w:r w:rsidRPr="00EC22E7">
                    <w:rPr>
                      <w:rFonts w:eastAsia="Calibri" w:cs="Times New Roman"/>
                      <w:sz w:val="24"/>
                      <w:szCs w:val="24"/>
                    </w:rPr>
                    <w:t>Accounting method</w:t>
                  </w:r>
                </w:p>
                <w:p w:rsidR="00494F9F" w:rsidRPr="00022953" w:rsidRDefault="00494F9F" w:rsidP="00017C91">
                  <w:pPr>
                    <w:pStyle w:val="ListParagraph"/>
                    <w:framePr w:hSpace="180" w:wrap="around" w:hAnchor="margin" w:xAlign="center" w:y="915"/>
                    <w:numPr>
                      <w:ilvl w:val="0"/>
                      <w:numId w:val="1"/>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Calibri" w:cs="Times New Roman"/>
                      <w:sz w:val="24"/>
                      <w:szCs w:val="24"/>
                    </w:rPr>
                  </w:pPr>
                  <w:r w:rsidRPr="00022953">
                    <w:rPr>
                      <w:rFonts w:eastAsia="Calibri" w:cs="Times New Roman"/>
                      <w:sz w:val="24"/>
                      <w:szCs w:val="24"/>
                    </w:rPr>
                    <w:t>Depreciation</w:t>
                  </w:r>
                </w:p>
              </w:tc>
            </w:tr>
          </w:tbl>
          <w:p w:rsidR="00494F9F" w:rsidRDefault="00494F9F" w:rsidP="007145FD"/>
        </w:tc>
        <w:tc>
          <w:tcPr>
            <w:tcW w:w="8253" w:type="dxa"/>
            <w:tcBorders>
              <w:left w:val="single" w:sz="4" w:space="0" w:color="auto"/>
              <w:bottom w:val="single" w:sz="4" w:space="0" w:color="auto"/>
            </w:tcBorders>
            <w:shd w:val="pct10" w:color="auto" w:fill="FFFFFF" w:themeFill="background1"/>
          </w:tcPr>
          <w:p w:rsidR="00494F9F" w:rsidRPr="00FF355C" w:rsidRDefault="00494F9F" w:rsidP="007145FD">
            <w:pPr>
              <w:rPr>
                <w:rFonts w:eastAsia="Times New Roman" w:cs="Times New Roman"/>
                <w:sz w:val="24"/>
                <w:szCs w:val="24"/>
              </w:rPr>
            </w:pPr>
            <w:r w:rsidRPr="00FF355C">
              <w:rPr>
                <w:rFonts w:eastAsia="Times New Roman" w:cs="Times New Roman"/>
                <w:sz w:val="24"/>
                <w:szCs w:val="24"/>
              </w:rPr>
              <w:t>Look</w:t>
            </w:r>
            <w:r>
              <w:rPr>
                <w:rFonts w:eastAsia="Times New Roman" w:cs="Times New Roman"/>
                <w:sz w:val="24"/>
                <w:szCs w:val="24"/>
              </w:rPr>
              <w:t xml:space="preserve"> over</w:t>
            </w:r>
            <w:r w:rsidRPr="00FF355C">
              <w:rPr>
                <w:rFonts w:eastAsia="Times New Roman" w:cs="Times New Roman"/>
                <w:sz w:val="24"/>
                <w:szCs w:val="24"/>
              </w:rPr>
              <w:t xml:space="preserve"> the Internal Revenue Code (Title 26, United States Code).  We will look at the organization of the IRC, and I will pass out a table of contents</w:t>
            </w:r>
            <w:r>
              <w:rPr>
                <w:rFonts w:eastAsia="Times New Roman" w:cs="Times New Roman"/>
                <w:sz w:val="24"/>
                <w:szCs w:val="24"/>
              </w:rPr>
              <w:t xml:space="preserve"> for Title 26</w:t>
            </w:r>
            <w:r w:rsidRPr="00FF355C">
              <w:rPr>
                <w:rFonts w:eastAsia="Times New Roman" w:cs="Times New Roman"/>
                <w:sz w:val="24"/>
                <w:szCs w:val="24"/>
              </w:rPr>
              <w:t xml:space="preserve"> (unfortunately out of date but </w:t>
            </w:r>
            <w:r>
              <w:rPr>
                <w:rFonts w:eastAsia="Times New Roman" w:cs="Times New Roman"/>
                <w:sz w:val="24"/>
                <w:szCs w:val="24"/>
              </w:rPr>
              <w:t>comprehensive</w:t>
            </w:r>
            <w:r w:rsidRPr="00FF355C">
              <w:rPr>
                <w:rFonts w:eastAsia="Times New Roman" w:cs="Times New Roman"/>
                <w:sz w:val="24"/>
                <w:szCs w:val="24"/>
              </w:rPr>
              <w:t xml:space="preserve"> </w:t>
            </w:r>
            <w:r>
              <w:rPr>
                <w:rFonts w:eastAsia="Times New Roman" w:cs="Times New Roman"/>
                <w:sz w:val="24"/>
                <w:szCs w:val="24"/>
              </w:rPr>
              <w:t>to its date)</w:t>
            </w:r>
            <w:r w:rsidRPr="00FF355C">
              <w:rPr>
                <w:rFonts w:eastAsia="Times New Roman" w:cs="Times New Roman"/>
                <w:sz w:val="24"/>
                <w:szCs w:val="24"/>
              </w:rPr>
              <w:t xml:space="preserve">.  </w:t>
            </w:r>
          </w:p>
          <w:p w:rsidR="00494F9F" w:rsidRPr="00FF355C" w:rsidRDefault="00494F9F" w:rsidP="007145FD">
            <w:pPr>
              <w:rPr>
                <w:rFonts w:eastAsia="Times New Roman" w:cs="Times New Roman"/>
                <w:sz w:val="24"/>
                <w:szCs w:val="24"/>
              </w:rPr>
            </w:pPr>
            <w:r w:rsidRPr="00FF355C">
              <w:rPr>
                <w:rFonts w:eastAsia="Times New Roman" w:cs="Times New Roman"/>
                <w:sz w:val="24"/>
                <w:szCs w:val="24"/>
              </w:rPr>
              <w:t>Find Subchapter K in the Internal Revenue Code (the "Code"). Where does it start? Where does it end? How is it organized?</w:t>
            </w:r>
            <w:r>
              <w:rPr>
                <w:rFonts w:eastAsia="Times New Roman" w:cs="Times New Roman"/>
                <w:sz w:val="24"/>
                <w:szCs w:val="24"/>
              </w:rPr>
              <w:t xml:space="preserve"> S</w:t>
            </w:r>
            <w:r w:rsidRPr="00FF355C">
              <w:rPr>
                <w:rFonts w:eastAsia="Times New Roman" w:cs="Times New Roman"/>
                <w:sz w:val="24"/>
                <w:szCs w:val="24"/>
              </w:rPr>
              <w:t xml:space="preserve">ame questions </w:t>
            </w:r>
            <w:r>
              <w:rPr>
                <w:rFonts w:eastAsia="Times New Roman" w:cs="Times New Roman"/>
                <w:sz w:val="24"/>
                <w:szCs w:val="24"/>
              </w:rPr>
              <w:t>for</w:t>
            </w:r>
            <w:r w:rsidRPr="00FF355C">
              <w:rPr>
                <w:rFonts w:eastAsia="Times New Roman" w:cs="Times New Roman"/>
                <w:sz w:val="24"/>
                <w:szCs w:val="24"/>
              </w:rPr>
              <w:t xml:space="preserve"> Subchapter C and Subchapter S in the Code.</w:t>
            </w:r>
            <w:r>
              <w:rPr>
                <w:rFonts w:eastAsia="Times New Roman" w:cs="Times New Roman"/>
                <w:sz w:val="24"/>
                <w:szCs w:val="24"/>
              </w:rPr>
              <w:t xml:space="preserve"> </w:t>
            </w:r>
          </w:p>
          <w:p w:rsidR="00494F9F" w:rsidRPr="00FF355C" w:rsidRDefault="00494F9F" w:rsidP="007145FD">
            <w:pPr>
              <w:rPr>
                <w:rFonts w:eastAsia="Times New Roman" w:cs="Times New Roman"/>
                <w:sz w:val="24"/>
                <w:szCs w:val="24"/>
              </w:rPr>
            </w:pPr>
            <w:r w:rsidRPr="00FF355C">
              <w:rPr>
                <w:rFonts w:eastAsia="Times New Roman" w:cs="Times New Roman"/>
                <w:sz w:val="24"/>
                <w:szCs w:val="24"/>
              </w:rPr>
              <w:t>These three subchapters are the three schemes of business taxation in the Code.</w:t>
            </w:r>
          </w:p>
          <w:p w:rsidR="00494F9F" w:rsidRDefault="00494F9F" w:rsidP="007145FD">
            <w:pPr>
              <w:rPr>
                <w:rFonts w:eastAsia="Times New Roman" w:cs="Times New Roman"/>
                <w:sz w:val="24"/>
                <w:szCs w:val="24"/>
              </w:rPr>
            </w:pPr>
            <w:r w:rsidRPr="00FF355C">
              <w:rPr>
                <w:rFonts w:eastAsia="Times New Roman" w:cs="Times New Roman"/>
                <w:sz w:val="24"/>
                <w:szCs w:val="24"/>
              </w:rPr>
              <w:t>Look at the Regulations in your anthology, and notice that Treasury Regulations are numbered to correspond with the Code sections to which they pertain, often with the prefix “1.“ or “301.“, and followed by a dash and numbered subdivisions. E.g. “301.7701-1 Classification of Organizations for Federal Tax Purposes.”</w:t>
            </w:r>
          </w:p>
          <w:p w:rsidR="00494F9F" w:rsidRPr="00FF355C" w:rsidRDefault="00494F9F" w:rsidP="007145FD">
            <w:pPr>
              <w:rPr>
                <w:rFonts w:eastAsia="Times New Roman" w:cs="Times New Roman"/>
                <w:sz w:val="24"/>
                <w:szCs w:val="24"/>
              </w:rPr>
            </w:pPr>
          </w:p>
          <w:p w:rsidR="00494F9F" w:rsidRPr="00FF355C" w:rsidRDefault="00494F9F" w:rsidP="007145FD">
            <w:pPr>
              <w:rPr>
                <w:rFonts w:eastAsia="Times New Roman" w:cs="Times New Roman"/>
                <w:sz w:val="24"/>
                <w:szCs w:val="24"/>
              </w:rPr>
            </w:pPr>
            <w:r w:rsidRPr="00FF355C">
              <w:rPr>
                <w:rFonts w:eastAsia="Times New Roman" w:cs="Times New Roman"/>
                <w:sz w:val="24"/>
                <w:szCs w:val="24"/>
              </w:rPr>
              <w:t xml:space="preserve">Read </w:t>
            </w:r>
            <w:r w:rsidRPr="00FF355C">
              <w:rPr>
                <w:rFonts w:eastAsia="Times New Roman" w:cs="Times New Roman"/>
                <w:b/>
                <w:bCs/>
                <w:sz w:val="24"/>
                <w:szCs w:val="24"/>
              </w:rPr>
              <w:t>Chapter 1</w:t>
            </w:r>
            <w:r w:rsidRPr="00FF355C">
              <w:rPr>
                <w:rFonts w:eastAsia="Times New Roman" w:cs="Times New Roman"/>
                <w:sz w:val="24"/>
                <w:szCs w:val="24"/>
              </w:rPr>
              <w:t xml:space="preserve"> in Burke &amp; </w:t>
            </w:r>
            <w:proofErr w:type="spellStart"/>
            <w:proofErr w:type="gramStart"/>
            <w:r w:rsidRPr="00FF355C">
              <w:rPr>
                <w:rFonts w:eastAsia="Times New Roman" w:cs="Times New Roman"/>
                <w:sz w:val="24"/>
                <w:szCs w:val="24"/>
              </w:rPr>
              <w:t>Friel’s</w:t>
            </w:r>
            <w:proofErr w:type="spellEnd"/>
            <w:r w:rsidRPr="00FF355C">
              <w:rPr>
                <w:rFonts w:eastAsia="Times New Roman" w:cs="Times New Roman"/>
                <w:sz w:val="24"/>
                <w:szCs w:val="24"/>
              </w:rPr>
              <w:t xml:space="preserve">  </w:t>
            </w:r>
            <w:r w:rsidRPr="00FF355C">
              <w:rPr>
                <w:rFonts w:eastAsia="Times New Roman" w:cs="Times New Roman"/>
                <w:i/>
                <w:iCs/>
                <w:sz w:val="24"/>
                <w:szCs w:val="24"/>
              </w:rPr>
              <w:t>Introduction</w:t>
            </w:r>
            <w:proofErr w:type="gramEnd"/>
            <w:r w:rsidRPr="00FF355C">
              <w:rPr>
                <w:rFonts w:eastAsia="Times New Roman" w:cs="Times New Roman"/>
                <w:i/>
                <w:iCs/>
                <w:sz w:val="24"/>
                <w:szCs w:val="24"/>
              </w:rPr>
              <w:t xml:space="preserve"> to the Taxation of Business Organizations and Choice of Entity</w:t>
            </w:r>
            <w:r w:rsidRPr="00FF355C">
              <w:rPr>
                <w:rFonts w:eastAsia="Times New Roman" w:cs="Times New Roman"/>
                <w:sz w:val="24"/>
                <w:szCs w:val="24"/>
              </w:rPr>
              <w:t>. (“B&amp;F”)</w:t>
            </w:r>
          </w:p>
          <w:p w:rsidR="00494F9F" w:rsidRPr="00FF355C" w:rsidRDefault="00494F9F" w:rsidP="007145FD">
            <w:pPr>
              <w:rPr>
                <w:rFonts w:eastAsia="Times New Roman" w:cs="Times New Roman"/>
                <w:sz w:val="24"/>
                <w:szCs w:val="24"/>
              </w:rPr>
            </w:pPr>
            <w:r w:rsidRPr="00FF355C">
              <w:rPr>
                <w:rFonts w:eastAsia="Times New Roman" w:cs="Times New Roman"/>
                <w:sz w:val="24"/>
                <w:szCs w:val="24"/>
              </w:rPr>
              <w:t xml:space="preserve">This is an overview and introductory reading.  However I suggest you begin immediately with Chapter 1 to list the types of business organizations your authors discuss, and create a chart or table for </w:t>
            </w:r>
            <w:proofErr w:type="gramStart"/>
            <w:r w:rsidRPr="00FF355C">
              <w:rPr>
                <w:rFonts w:eastAsia="Times New Roman" w:cs="Times New Roman"/>
                <w:sz w:val="24"/>
                <w:szCs w:val="24"/>
              </w:rPr>
              <w:t>yourself, that</w:t>
            </w:r>
            <w:proofErr w:type="gramEnd"/>
            <w:r w:rsidRPr="00FF355C">
              <w:rPr>
                <w:rFonts w:eastAsia="Times New Roman" w:cs="Times New Roman"/>
                <w:sz w:val="24"/>
                <w:szCs w:val="24"/>
              </w:rPr>
              <w:t xml:space="preserve"> organizes in separate columns the key differences among them.</w:t>
            </w:r>
          </w:p>
          <w:p w:rsidR="00494F9F" w:rsidRPr="00FF355C" w:rsidRDefault="00494F9F" w:rsidP="007145FD">
            <w:pPr>
              <w:rPr>
                <w:rFonts w:eastAsia="Times New Roman" w:cs="Times New Roman"/>
                <w:sz w:val="24"/>
                <w:szCs w:val="24"/>
              </w:rPr>
            </w:pPr>
          </w:p>
          <w:p w:rsidR="00494F9F" w:rsidRPr="00FF355C" w:rsidRDefault="00494F9F" w:rsidP="007145FD">
            <w:pPr>
              <w:rPr>
                <w:rFonts w:eastAsia="Times New Roman" w:cs="Times New Roman"/>
                <w:sz w:val="24"/>
                <w:szCs w:val="24"/>
              </w:rPr>
            </w:pPr>
            <w:r w:rsidRPr="00FF355C">
              <w:rPr>
                <w:rFonts w:eastAsia="Times New Roman" w:cs="Times New Roman"/>
                <w:sz w:val="24"/>
                <w:szCs w:val="24"/>
              </w:rPr>
              <w:t>In the Code, read the following sections:</w:t>
            </w:r>
          </w:p>
          <w:p w:rsidR="00494F9F" w:rsidRPr="00FF355C" w:rsidRDefault="00494F9F" w:rsidP="007145FD">
            <w:pPr>
              <w:rPr>
                <w:rFonts w:eastAsia="Times New Roman" w:cs="Times New Roman"/>
                <w:sz w:val="24"/>
                <w:szCs w:val="24"/>
              </w:rPr>
            </w:pPr>
            <w:r w:rsidRPr="00FF355C">
              <w:rPr>
                <w:rFonts w:eastAsia="Times New Roman" w:cs="Times New Roman"/>
                <w:b/>
                <w:bCs/>
                <w:sz w:val="24"/>
                <w:szCs w:val="24"/>
              </w:rPr>
              <w:t>§1; §11; §701; §1366.</w:t>
            </w:r>
          </w:p>
          <w:p w:rsidR="00494F9F" w:rsidRPr="00FF355C" w:rsidRDefault="00494F9F" w:rsidP="007145FD">
            <w:pPr>
              <w:rPr>
                <w:rFonts w:eastAsia="Times New Roman" w:cs="Times New Roman"/>
                <w:sz w:val="24"/>
                <w:szCs w:val="24"/>
              </w:rPr>
            </w:pPr>
            <w:r w:rsidRPr="00FF355C">
              <w:rPr>
                <w:rFonts w:eastAsia="Times New Roman" w:cs="Times New Roman"/>
                <w:b/>
                <w:bCs/>
                <w:sz w:val="24"/>
                <w:szCs w:val="24"/>
              </w:rPr>
              <w:t>§7701(a) (1 through 11, 13, 14, 23, 24, and 42 through 45)</w:t>
            </w:r>
          </w:p>
          <w:p w:rsidR="00494F9F" w:rsidRPr="00FF355C" w:rsidRDefault="00494F9F" w:rsidP="007145FD">
            <w:pPr>
              <w:rPr>
                <w:rFonts w:eastAsia="Times New Roman" w:cs="Times New Roman"/>
                <w:sz w:val="24"/>
                <w:szCs w:val="24"/>
              </w:rPr>
            </w:pPr>
            <w:r w:rsidRPr="00FF355C">
              <w:rPr>
                <w:rFonts w:eastAsia="Times New Roman" w:cs="Times New Roman"/>
                <w:sz w:val="24"/>
                <w:szCs w:val="24"/>
              </w:rPr>
              <w:t xml:space="preserve">Read Internal Revenue Regulations: </w:t>
            </w:r>
          </w:p>
          <w:p w:rsidR="00494F9F" w:rsidRPr="00FF355C" w:rsidRDefault="00494F9F" w:rsidP="007145FD">
            <w:pPr>
              <w:rPr>
                <w:rFonts w:eastAsia="Times New Roman" w:cs="Times New Roman"/>
                <w:sz w:val="24"/>
                <w:szCs w:val="24"/>
              </w:rPr>
            </w:pPr>
            <w:r w:rsidRPr="00FF355C">
              <w:rPr>
                <w:rFonts w:eastAsia="Times New Roman" w:cs="Times New Roman"/>
                <w:b/>
                <w:bCs/>
                <w:sz w:val="24"/>
                <w:szCs w:val="24"/>
              </w:rPr>
              <w:t>§301.7701-3(a), (b) and (c).</w:t>
            </w:r>
          </w:p>
          <w:p w:rsidR="00494F9F" w:rsidRPr="00FF355C" w:rsidRDefault="00494F9F" w:rsidP="007145F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eastAsia="Calibri" w:cs="Times New Roman"/>
                <w:sz w:val="24"/>
                <w:szCs w:val="24"/>
              </w:rPr>
            </w:pPr>
          </w:p>
          <w:p w:rsidR="00494F9F" w:rsidRPr="00FF355C" w:rsidRDefault="00494F9F" w:rsidP="007145FD">
            <w:pPr>
              <w:tabs>
                <w:tab w:val="left" w:pos="1"/>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p>
        </w:tc>
      </w:tr>
    </w:tbl>
    <w:p w:rsidR="00494F9F" w:rsidRDefault="00494F9F" w:rsidP="00494F9F"/>
    <w:sectPr w:rsidR="00494F9F" w:rsidSect="000D083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679C0"/>
    <w:multiLevelType w:val="hybridMultilevel"/>
    <w:tmpl w:val="E28E21D6"/>
    <w:lvl w:ilvl="0" w:tplc="0409000B">
      <w:start w:val="1"/>
      <w:numFmt w:val="bullet"/>
      <w:lvlText w:val=""/>
      <w:lvlJc w:val="left"/>
      <w:pPr>
        <w:tabs>
          <w:tab w:val="num" w:pos="361"/>
        </w:tabs>
        <w:ind w:left="361" w:hanging="360"/>
      </w:pPr>
      <w:rPr>
        <w:rFonts w:ascii="Wingdings" w:hAnsi="Wingdings" w:hint="default"/>
      </w:rPr>
    </w:lvl>
    <w:lvl w:ilvl="1" w:tplc="04090003" w:tentative="1">
      <w:start w:val="1"/>
      <w:numFmt w:val="bullet"/>
      <w:lvlText w:val="o"/>
      <w:lvlJc w:val="left"/>
      <w:pPr>
        <w:tabs>
          <w:tab w:val="num" w:pos="1081"/>
        </w:tabs>
        <w:ind w:left="1081" w:hanging="360"/>
      </w:pPr>
      <w:rPr>
        <w:rFonts w:ascii="Courier New" w:hAnsi="Courier New" w:cs="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837"/>
    <w:rsid w:val="00017C91"/>
    <w:rsid w:val="000D0373"/>
    <w:rsid w:val="000D0837"/>
    <w:rsid w:val="00155BC6"/>
    <w:rsid w:val="00184043"/>
    <w:rsid w:val="002154EB"/>
    <w:rsid w:val="002B0DDA"/>
    <w:rsid w:val="002B5FBD"/>
    <w:rsid w:val="003259D3"/>
    <w:rsid w:val="003C2B16"/>
    <w:rsid w:val="00494F9F"/>
    <w:rsid w:val="00525E2B"/>
    <w:rsid w:val="00530B3C"/>
    <w:rsid w:val="005B6CFC"/>
    <w:rsid w:val="005C2E46"/>
    <w:rsid w:val="00636C20"/>
    <w:rsid w:val="00683AB6"/>
    <w:rsid w:val="00794CAC"/>
    <w:rsid w:val="007D48B3"/>
    <w:rsid w:val="007E5AD0"/>
    <w:rsid w:val="0095773C"/>
    <w:rsid w:val="009707A2"/>
    <w:rsid w:val="009B79CA"/>
    <w:rsid w:val="009F6CF2"/>
    <w:rsid w:val="00D21F7F"/>
    <w:rsid w:val="00DD0E0B"/>
    <w:rsid w:val="00F61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BA5EFE35-D964-4F04-BD74-8B8206985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8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0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0837"/>
    <w:pPr>
      <w:ind w:left="720"/>
      <w:contextualSpacing/>
    </w:pPr>
  </w:style>
  <w:style w:type="character" w:styleId="Hyperlink">
    <w:name w:val="Hyperlink"/>
    <w:basedOn w:val="DefaultParagraphFont"/>
    <w:uiPriority w:val="99"/>
    <w:unhideWhenUsed/>
    <w:rsid w:val="00494F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p-press.com/authors/2189/Michael-K.-Friel" TargetMode="External"/><Relationship Id="rId5" Type="http://schemas.openxmlformats.org/officeDocument/2006/relationships/hyperlink" Target="https://cap-press.com/authors/2139/J.-Martin-Burk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DA3D63B8.dotm</Template>
  <TotalTime>1</TotalTime>
  <Pages>2</Pages>
  <Words>533</Words>
  <Characters>3039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 Ritzert</dc:creator>
  <cp:lastModifiedBy>Layla Davis</cp:lastModifiedBy>
  <cp:revision>2</cp:revision>
  <dcterms:created xsi:type="dcterms:W3CDTF">2020-01-03T18:52:00Z</dcterms:created>
  <dcterms:modified xsi:type="dcterms:W3CDTF">2020-01-03T18:52:00Z</dcterms:modified>
</cp:coreProperties>
</file>