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C9D3B" w14:textId="77777777" w:rsidR="00E8663F" w:rsidRDefault="00E8663F">
      <w:pPr>
        <w:pBdr>
          <w:top w:val="none" w:sz="0" w:space="4" w:color="auto"/>
        </w:pBdr>
        <w:spacing w:after="0" w:line="275" w:lineRule="atLeast"/>
        <w:jc w:val="both"/>
      </w:pPr>
      <w:bookmarkStart w:id="0" w:name="I3d1ac45085a011eeb46ef9115206b52a_Targe"/>
      <w:bookmarkStart w:id="1" w:name="co_document_1"/>
      <w:bookmarkEnd w:id="0"/>
    </w:p>
    <w:bookmarkEnd w:id="1"/>
    <w:p w14:paraId="7F98B22D" w14:textId="77777777" w:rsidR="00E8663F" w:rsidRDefault="00B813AC">
      <w:pPr>
        <w:spacing w:after="0" w:line="275" w:lineRule="atLeast"/>
        <w:jc w:val="center"/>
      </w:pPr>
      <w:r>
        <w:rPr>
          <w:rFonts w:ascii="Georgia" w:hAnsi="Georgia"/>
          <w:color w:val="000000"/>
          <w:sz w:val="20"/>
        </w:rPr>
        <w:t>2023 WL 7982339</w:t>
      </w:r>
    </w:p>
    <w:p w14:paraId="1FF86F12" w14:textId="77777777" w:rsidR="00E8663F" w:rsidRDefault="00B813AC">
      <w:pPr>
        <w:spacing w:after="0" w:line="275" w:lineRule="atLeast"/>
        <w:jc w:val="center"/>
      </w:pPr>
      <w:r>
        <w:rPr>
          <w:rFonts w:ascii="Georgia" w:hAnsi="Georgia"/>
          <w:color w:val="000000"/>
          <w:sz w:val="20"/>
        </w:rPr>
        <w:t>Only the Westlaw citation is currently available.</w:t>
      </w:r>
    </w:p>
    <w:p w14:paraId="18C9CFCC" w14:textId="77777777" w:rsidR="00E8663F" w:rsidRDefault="00B813AC">
      <w:pPr>
        <w:spacing w:before="200" w:after="0" w:line="275" w:lineRule="atLeast"/>
        <w:jc w:val="center"/>
      </w:pPr>
      <w:r>
        <w:rPr>
          <w:rFonts w:ascii="Georgia" w:hAnsi="Georgia"/>
          <w:color w:val="000000"/>
          <w:sz w:val="20"/>
        </w:rPr>
        <w:t>UNPUBLISHED OPINION. CHECK COURT RULES BEFORE CITING.</w:t>
      </w:r>
    </w:p>
    <w:p w14:paraId="113578D0" w14:textId="77777777" w:rsidR="00E8663F" w:rsidRDefault="00B813AC">
      <w:pPr>
        <w:spacing w:before="200" w:after="0" w:line="275" w:lineRule="atLeast"/>
        <w:jc w:val="center"/>
      </w:pPr>
      <w:r>
        <w:rPr>
          <w:rFonts w:ascii="Georgia" w:hAnsi="Georgia"/>
          <w:color w:val="000000"/>
          <w:sz w:val="20"/>
        </w:rPr>
        <w:t>UNPUBLISHED</w:t>
      </w:r>
    </w:p>
    <w:p w14:paraId="4B6883C7" w14:textId="77777777" w:rsidR="00E8663F" w:rsidRDefault="00B813AC">
      <w:pPr>
        <w:spacing w:after="0" w:line="275" w:lineRule="atLeast"/>
        <w:jc w:val="center"/>
      </w:pPr>
      <w:r>
        <w:rPr>
          <w:rFonts w:ascii="Georgia" w:hAnsi="Georgia"/>
          <w:color w:val="000000"/>
          <w:sz w:val="20"/>
        </w:rPr>
        <w:t>Court of Appeals of Michigan.</w:t>
      </w:r>
    </w:p>
    <w:p w14:paraId="03943653" w14:textId="77777777" w:rsidR="00E8663F" w:rsidRDefault="00B813AC">
      <w:pPr>
        <w:spacing w:before="200" w:after="0" w:line="300" w:lineRule="atLeast"/>
        <w:ind w:left="100" w:right="100"/>
        <w:jc w:val="center"/>
      </w:pPr>
      <w:r>
        <w:rPr>
          <w:rFonts w:ascii="Georgia" w:hAnsi="Georgia"/>
          <w:color w:val="252525"/>
          <w:sz w:val="20"/>
        </w:rPr>
        <w:t>Lashawna Lynette BRANDON, Plaintiff-Appellant,</w:t>
      </w:r>
    </w:p>
    <w:p w14:paraId="67F4B723" w14:textId="77777777" w:rsidR="00E8663F" w:rsidRDefault="00B813AC">
      <w:pPr>
        <w:spacing w:after="0" w:line="300" w:lineRule="atLeast"/>
        <w:ind w:left="100" w:right="100"/>
        <w:jc w:val="center"/>
      </w:pPr>
      <w:r>
        <w:rPr>
          <w:rFonts w:ascii="Georgia" w:hAnsi="Georgia"/>
          <w:color w:val="252525"/>
          <w:sz w:val="20"/>
        </w:rPr>
        <w:t>v.</w:t>
      </w:r>
    </w:p>
    <w:p w14:paraId="3222A144" w14:textId="77777777" w:rsidR="00E8663F" w:rsidRDefault="00B813AC">
      <w:pPr>
        <w:spacing w:after="0" w:line="300" w:lineRule="atLeast"/>
        <w:ind w:left="100" w:right="100"/>
        <w:jc w:val="center"/>
      </w:pPr>
      <w:r>
        <w:rPr>
          <w:rFonts w:ascii="Georgia" w:hAnsi="Georgia"/>
          <w:color w:val="252525"/>
          <w:sz w:val="20"/>
        </w:rPr>
        <w:t xml:space="preserve">The KROGER CO. OF MICHIGAN, a </w:t>
      </w:r>
      <w:r>
        <w:rPr>
          <w:rFonts w:ascii="Georgia" w:hAnsi="Georgia"/>
          <w:color w:val="252525"/>
          <w:sz w:val="20"/>
        </w:rPr>
        <w:t>Michigan corporation, Defendant-Appellee.</w:t>
      </w:r>
    </w:p>
    <w:p w14:paraId="75918897" w14:textId="77777777" w:rsidR="00E8663F" w:rsidRDefault="00B813AC">
      <w:pPr>
        <w:pBdr>
          <w:left w:val="none" w:sz="0" w:space="8" w:color="auto"/>
        </w:pBdr>
        <w:spacing w:before="200" w:after="0" w:line="275" w:lineRule="atLeast"/>
        <w:ind w:left="150"/>
        <w:jc w:val="center"/>
      </w:pPr>
      <w:r>
        <w:rPr>
          <w:rFonts w:ascii="Georgia" w:hAnsi="Georgia"/>
          <w:color w:val="000000"/>
          <w:sz w:val="20"/>
        </w:rPr>
        <w:t>No. 365028</w:t>
      </w:r>
    </w:p>
    <w:p w14:paraId="6B31EF5B" w14:textId="77777777" w:rsidR="00E8663F" w:rsidRDefault="00B813AC">
      <w:pPr>
        <w:pBdr>
          <w:left w:val="none" w:sz="0" w:space="8" w:color="auto"/>
        </w:pBdr>
        <w:spacing w:after="0" w:line="275" w:lineRule="atLeast"/>
        <w:ind w:left="150"/>
        <w:jc w:val="center"/>
      </w:pPr>
      <w:r>
        <w:rPr>
          <w:rFonts w:ascii="Georgia" w:hAnsi="Georgia"/>
          <w:color w:val="000000"/>
          <w:sz w:val="20"/>
        </w:rPr>
        <w:t>|</w:t>
      </w:r>
    </w:p>
    <w:p w14:paraId="75B8627A" w14:textId="77777777" w:rsidR="00E8663F" w:rsidRDefault="00B813AC">
      <w:pPr>
        <w:pBdr>
          <w:left w:val="none" w:sz="0" w:space="8" w:color="auto"/>
        </w:pBdr>
        <w:spacing w:after="0" w:line="275" w:lineRule="atLeast"/>
        <w:ind w:left="150"/>
        <w:jc w:val="center"/>
      </w:pPr>
      <w:r>
        <w:rPr>
          <w:rFonts w:ascii="Georgia" w:hAnsi="Georgia"/>
          <w:color w:val="000000"/>
          <w:sz w:val="20"/>
        </w:rPr>
        <w:t>November 16, 2023</w:t>
      </w:r>
    </w:p>
    <w:p w14:paraId="3DA6DC3B" w14:textId="77777777" w:rsidR="00E8663F" w:rsidRDefault="00B813AC">
      <w:pPr>
        <w:spacing w:before="400" w:after="0" w:line="275" w:lineRule="atLeast"/>
        <w:jc w:val="both"/>
      </w:pPr>
      <w:r>
        <w:rPr>
          <w:rFonts w:ascii="Times New Roman" w:hAnsi="Times New Roman"/>
          <w:color w:val="000000"/>
          <w:sz w:val="20"/>
        </w:rPr>
        <w:t>Washtenaw Circuit Court, LC No. 22-000106-NO</w:t>
      </w:r>
    </w:p>
    <w:p w14:paraId="455B8B4A" w14:textId="77777777" w:rsidR="00E8663F" w:rsidRDefault="00B813AC">
      <w:pPr>
        <w:spacing w:after="0" w:line="275" w:lineRule="atLeast"/>
        <w:jc w:val="both"/>
      </w:pPr>
      <w:r>
        <w:rPr>
          <w:rFonts w:ascii="Times New Roman" w:hAnsi="Times New Roman"/>
          <w:color w:val="000000"/>
          <w:sz w:val="20"/>
        </w:rPr>
        <w:t xml:space="preserve">Before: </w:t>
      </w:r>
      <w:hyperlink r:id="rId9">
        <w:proofErr w:type="spellStart"/>
        <w:r>
          <w:rPr>
            <w:rFonts w:ascii="Times New Roman" w:hAnsi="Times New Roman"/>
            <w:color w:val="0E568C"/>
            <w:sz w:val="20"/>
          </w:rPr>
          <w:t>Boonstra</w:t>
        </w:r>
        <w:proofErr w:type="spellEnd"/>
      </w:hyperlink>
      <w:r>
        <w:rPr>
          <w:rFonts w:ascii="Times New Roman" w:hAnsi="Times New Roman"/>
          <w:color w:val="000000"/>
          <w:sz w:val="20"/>
        </w:rPr>
        <w:t xml:space="preserve">, P.J., and </w:t>
      </w:r>
      <w:hyperlink r:id="rId10">
        <w:proofErr w:type="spellStart"/>
        <w:r>
          <w:rPr>
            <w:rFonts w:ascii="Times New Roman" w:hAnsi="Times New Roman"/>
            <w:color w:val="0E568C"/>
            <w:sz w:val="20"/>
          </w:rPr>
          <w:t>Gadola</w:t>
        </w:r>
        <w:proofErr w:type="spellEnd"/>
      </w:hyperlink>
      <w:r>
        <w:rPr>
          <w:rFonts w:ascii="Times New Roman" w:hAnsi="Times New Roman"/>
          <w:color w:val="000000"/>
          <w:sz w:val="20"/>
        </w:rPr>
        <w:t xml:space="preserve"> and </w:t>
      </w:r>
      <w:hyperlink r:id="rId11">
        <w:r>
          <w:rPr>
            <w:rFonts w:ascii="Times New Roman" w:hAnsi="Times New Roman"/>
            <w:color w:val="0E568C"/>
            <w:sz w:val="20"/>
          </w:rPr>
          <w:t>Maldonado</w:t>
        </w:r>
      </w:hyperlink>
      <w:r>
        <w:rPr>
          <w:rFonts w:ascii="Times New Roman" w:hAnsi="Times New Roman"/>
          <w:color w:val="000000"/>
          <w:sz w:val="20"/>
        </w:rPr>
        <w:t>, JJ.</w:t>
      </w:r>
    </w:p>
    <w:p w14:paraId="63FB7723" w14:textId="77777777" w:rsidR="00E8663F" w:rsidRDefault="00B813AC">
      <w:pPr>
        <w:keepNext/>
        <w:keepLines/>
        <w:spacing w:before="200" w:after="0" w:line="275" w:lineRule="atLeast"/>
        <w:jc w:val="both"/>
      </w:pPr>
      <w:bookmarkStart w:id="2" w:name="co_opinion_1"/>
      <w:r>
        <w:rPr>
          <w:rFonts w:ascii="Times New Roman" w:hAnsi="Times New Roman"/>
          <w:b/>
          <w:color w:val="212121"/>
          <w:sz w:val="20"/>
        </w:rPr>
        <w:t>Opinion</w:t>
      </w:r>
    </w:p>
    <w:p w14:paraId="41167113" w14:textId="77777777" w:rsidR="00E8663F" w:rsidRDefault="00B813AC">
      <w:pPr>
        <w:spacing w:before="200" w:after="0" w:line="275" w:lineRule="atLeast"/>
        <w:jc w:val="both"/>
      </w:pPr>
      <w:bookmarkStart w:id="3" w:name="co_anchor_Id69679428e6911ee9004afb393ca"/>
      <w:bookmarkEnd w:id="2"/>
      <w:r>
        <w:rPr>
          <w:rFonts w:ascii="Times New Roman" w:hAnsi="Times New Roman"/>
          <w:color w:val="000000"/>
          <w:sz w:val="20"/>
        </w:rPr>
        <w:t xml:space="preserve">Per </w:t>
      </w:r>
      <w:proofErr w:type="spellStart"/>
      <w:r>
        <w:rPr>
          <w:rFonts w:ascii="Times New Roman" w:hAnsi="Times New Roman"/>
          <w:color w:val="000000"/>
          <w:sz w:val="20"/>
        </w:rPr>
        <w:t>Curiam</w:t>
      </w:r>
      <w:proofErr w:type="spellEnd"/>
      <w:r>
        <w:rPr>
          <w:rFonts w:ascii="Times New Roman" w:hAnsi="Times New Roman"/>
          <w:color w:val="000000"/>
          <w:sz w:val="20"/>
        </w:rPr>
        <w:t>.</w:t>
      </w:r>
    </w:p>
    <w:p w14:paraId="14FCCD4E" w14:textId="77777777" w:rsidR="00E8663F" w:rsidRDefault="00B813AC">
      <w:pPr>
        <w:spacing w:before="200" w:after="0" w:line="275" w:lineRule="atLeast"/>
        <w:jc w:val="both"/>
      </w:pPr>
      <w:bookmarkStart w:id="4" w:name="co_pp_sp_999_1_1"/>
      <w:bookmarkStart w:id="5" w:name="co_anchor_Id69e8f928e6911ee9004afb393ca"/>
      <w:bookmarkEnd w:id="3"/>
      <w:r>
        <w:rPr>
          <w:rFonts w:ascii="Times New Roman" w:hAnsi="Times New Roman"/>
          <w:b/>
          <w:color w:val="000000"/>
          <w:sz w:val="20"/>
        </w:rPr>
        <w:t>*1</w:t>
      </w:r>
      <w:bookmarkEnd w:id="4"/>
      <w:r>
        <w:rPr>
          <w:rFonts w:ascii="Times New Roman" w:hAnsi="Times New Roman"/>
          <w:color w:val="000000"/>
          <w:sz w:val="20"/>
        </w:rPr>
        <w:t xml:space="preserve"> Plaintiff appeals by right the trial court's order granting summary disposition in favor of defendant. We reverse and remand for further proceedings.</w:t>
      </w:r>
    </w:p>
    <w:bookmarkEnd w:id="5"/>
    <w:p w14:paraId="415CF64A" w14:textId="77777777" w:rsidR="00E8663F" w:rsidRDefault="00B813AC">
      <w:pPr>
        <w:spacing w:after="0" w:line="275" w:lineRule="atLeast"/>
        <w:jc w:val="both"/>
      </w:pPr>
      <w:r>
        <w:rPr>
          <w:rFonts w:ascii="Times New Roman" w:hAnsi="Times New Roman"/>
          <w:color w:val="000000"/>
          <w:sz w:val="20"/>
        </w:rPr>
        <w:t> </w:t>
      </w:r>
    </w:p>
    <w:p w14:paraId="26613D44" w14:textId="77777777" w:rsidR="00E8663F" w:rsidRDefault="00B813AC">
      <w:pPr>
        <w:spacing w:before="400" w:after="0" w:line="275" w:lineRule="atLeast"/>
        <w:jc w:val="center"/>
      </w:pPr>
      <w:bookmarkStart w:id="6" w:name="co_anchor_Id69eddb18e6911ee9004afb393ca"/>
      <w:r>
        <w:rPr>
          <w:rFonts w:ascii="Times New Roman" w:hAnsi="Times New Roman"/>
          <w:color w:val="000000"/>
          <w:sz w:val="20"/>
        </w:rPr>
        <w:t>I. PERTINE</w:t>
      </w:r>
      <w:r>
        <w:rPr>
          <w:rFonts w:ascii="Times New Roman" w:hAnsi="Times New Roman"/>
          <w:color w:val="000000"/>
          <w:sz w:val="20"/>
        </w:rPr>
        <w:t>NT FACTS AND PROCEDURAL HISTORY</w:t>
      </w:r>
    </w:p>
    <w:bookmarkEnd w:id="6"/>
    <w:p w14:paraId="7B781F02" w14:textId="77777777" w:rsidR="00E8663F" w:rsidRDefault="00B813AC">
      <w:pPr>
        <w:spacing w:before="200" w:after="0" w:line="275" w:lineRule="atLeast"/>
        <w:jc w:val="both"/>
      </w:pPr>
      <w:r>
        <w:rPr>
          <w:rFonts w:ascii="Times New Roman" w:hAnsi="Times New Roman"/>
          <w:color w:val="000000"/>
          <w:sz w:val="20"/>
        </w:rPr>
        <w:t xml:space="preserve">On January 28, 2019, plaintiff and her daughter were shopping at a grocery store owned by defendant. According to plaintiff, she separated from her daughter and went to the produce aisle. Plaintiff noticed “two or three” of </w:t>
      </w:r>
      <w:r>
        <w:rPr>
          <w:rFonts w:ascii="Times New Roman" w:hAnsi="Times New Roman"/>
          <w:color w:val="000000"/>
          <w:sz w:val="20"/>
        </w:rPr>
        <w:t xml:space="preserve">the store's employees moving “in and out of the area,” using wheeled carts or dollies piled with crates to stock produce. Plaintiff testified at her deposition that she moved toward the “wall” of the aisle to look at the </w:t>
      </w:r>
      <w:proofErr w:type="gramStart"/>
      <w:r>
        <w:rPr>
          <w:rFonts w:ascii="Times New Roman" w:hAnsi="Times New Roman"/>
          <w:color w:val="000000"/>
          <w:sz w:val="20"/>
        </w:rPr>
        <w:t>produce, and</w:t>
      </w:r>
      <w:proofErr w:type="gramEnd"/>
      <w:r>
        <w:rPr>
          <w:rFonts w:ascii="Times New Roman" w:hAnsi="Times New Roman"/>
          <w:color w:val="000000"/>
          <w:sz w:val="20"/>
        </w:rPr>
        <w:t xml:space="preserve"> selected a </w:t>
      </w:r>
      <w:proofErr w:type="spellStart"/>
      <w:r>
        <w:rPr>
          <w:rFonts w:ascii="Times New Roman" w:hAnsi="Times New Roman"/>
          <w:color w:val="000000"/>
          <w:sz w:val="20"/>
        </w:rPr>
        <w:t>beet</w:t>
      </w:r>
      <w:proofErr w:type="spellEnd"/>
      <w:r>
        <w:rPr>
          <w:rFonts w:ascii="Times New Roman" w:hAnsi="Times New Roman"/>
          <w:color w:val="000000"/>
          <w:sz w:val="20"/>
        </w:rPr>
        <w:t>. As sh</w:t>
      </w:r>
      <w:r>
        <w:rPr>
          <w:rFonts w:ascii="Times New Roman" w:hAnsi="Times New Roman"/>
          <w:color w:val="000000"/>
          <w:sz w:val="20"/>
        </w:rPr>
        <w:t xml:space="preserve">e turned away from the wall, plaintiff testified that her right foot collided with a wheeled dolly behind her, causing her to fall. Plaintiff stated that the dolly was not present when she </w:t>
      </w:r>
      <w:r>
        <w:rPr>
          <w:rFonts w:ascii="Times New Roman" w:hAnsi="Times New Roman"/>
          <w:color w:val="000000"/>
          <w:sz w:val="20"/>
        </w:rPr>
        <w:t>approached the produce wall, and that she looked at the produce for</w:t>
      </w:r>
      <w:r>
        <w:rPr>
          <w:rFonts w:ascii="Times New Roman" w:hAnsi="Times New Roman"/>
          <w:color w:val="000000"/>
          <w:sz w:val="20"/>
        </w:rPr>
        <w:t xml:space="preserve"> “a few minutes.” Plaintiff agreed that the dolly was “right behind” her when she turned </w:t>
      </w:r>
      <w:proofErr w:type="gramStart"/>
      <w:r>
        <w:rPr>
          <w:rFonts w:ascii="Times New Roman" w:hAnsi="Times New Roman"/>
          <w:color w:val="000000"/>
          <w:sz w:val="20"/>
        </w:rPr>
        <w:t>around, and</w:t>
      </w:r>
      <w:proofErr w:type="gramEnd"/>
      <w:r>
        <w:rPr>
          <w:rFonts w:ascii="Times New Roman" w:hAnsi="Times New Roman"/>
          <w:color w:val="000000"/>
          <w:sz w:val="20"/>
        </w:rPr>
        <w:t xml:space="preserve"> was “silver metal with dirt on the wheels.”</w:t>
      </w:r>
    </w:p>
    <w:p w14:paraId="4A4A909A" w14:textId="77777777" w:rsidR="00E8663F" w:rsidRDefault="00B813AC">
      <w:pPr>
        <w:spacing w:after="0" w:line="275" w:lineRule="atLeast"/>
        <w:jc w:val="both"/>
      </w:pPr>
      <w:r>
        <w:rPr>
          <w:rFonts w:ascii="Times New Roman" w:hAnsi="Times New Roman"/>
          <w:color w:val="000000"/>
          <w:sz w:val="20"/>
        </w:rPr>
        <w:t> </w:t>
      </w:r>
    </w:p>
    <w:p w14:paraId="299A4DF8" w14:textId="77777777" w:rsidR="00E8663F" w:rsidRDefault="00B813AC">
      <w:pPr>
        <w:spacing w:after="0" w:line="275" w:lineRule="atLeast"/>
        <w:jc w:val="both"/>
      </w:pPr>
      <w:r>
        <w:rPr>
          <w:rFonts w:ascii="Times New Roman" w:hAnsi="Times New Roman"/>
          <w:color w:val="000000"/>
          <w:sz w:val="20"/>
        </w:rPr>
        <w:t>Plaintiff filed suit against defendant, alleging that she had been injured in the fall. Plaintiff's complaint</w:t>
      </w:r>
      <w:r>
        <w:rPr>
          <w:rFonts w:ascii="Times New Roman" w:hAnsi="Times New Roman"/>
          <w:color w:val="000000"/>
          <w:sz w:val="20"/>
        </w:rPr>
        <w:t xml:space="preserve"> contained two counts, one for negligence and one for premises liability.</w:t>
      </w:r>
    </w:p>
    <w:p w14:paraId="1FADFDC2" w14:textId="77777777" w:rsidR="00E8663F" w:rsidRDefault="00B813AC">
      <w:pPr>
        <w:spacing w:after="0" w:line="275" w:lineRule="atLeast"/>
        <w:jc w:val="both"/>
      </w:pPr>
      <w:r>
        <w:rPr>
          <w:rFonts w:ascii="Times New Roman" w:hAnsi="Times New Roman"/>
          <w:color w:val="000000"/>
          <w:sz w:val="20"/>
        </w:rPr>
        <w:t> </w:t>
      </w:r>
    </w:p>
    <w:p w14:paraId="70ECCD12" w14:textId="77777777" w:rsidR="00E8663F" w:rsidRDefault="00B813AC">
      <w:pPr>
        <w:spacing w:after="0" w:line="275" w:lineRule="atLeast"/>
        <w:jc w:val="both"/>
      </w:pPr>
      <w:r>
        <w:rPr>
          <w:rFonts w:ascii="Times New Roman" w:hAnsi="Times New Roman"/>
          <w:color w:val="000000"/>
          <w:sz w:val="20"/>
        </w:rPr>
        <w:t xml:space="preserve">Defendant moved for summary disposition, arguing that plaintiff's claims sounded in premises liability, not ordinary negligence, </w:t>
      </w:r>
      <w:proofErr w:type="gramStart"/>
      <w:r>
        <w:rPr>
          <w:rFonts w:ascii="Times New Roman" w:hAnsi="Times New Roman"/>
          <w:color w:val="000000"/>
          <w:sz w:val="20"/>
        </w:rPr>
        <w:t>and also</w:t>
      </w:r>
      <w:proofErr w:type="gramEnd"/>
      <w:r>
        <w:rPr>
          <w:rFonts w:ascii="Times New Roman" w:hAnsi="Times New Roman"/>
          <w:color w:val="000000"/>
          <w:sz w:val="20"/>
        </w:rPr>
        <w:t xml:space="preserve"> arguing that the hazard alleged to have ca</w:t>
      </w:r>
      <w:r>
        <w:rPr>
          <w:rFonts w:ascii="Times New Roman" w:hAnsi="Times New Roman"/>
          <w:color w:val="000000"/>
          <w:sz w:val="20"/>
        </w:rPr>
        <w:t>used plaintiff's injury was open and obvious. The trial court granted defendant's motion, stating that “a case like this is a premises liability case” and holding that the hazard was “an open and obvious condition with no special aspects.” This appeal foll</w:t>
      </w:r>
      <w:r>
        <w:rPr>
          <w:rFonts w:ascii="Times New Roman" w:hAnsi="Times New Roman"/>
          <w:color w:val="000000"/>
          <w:sz w:val="20"/>
        </w:rPr>
        <w:t>owed.</w:t>
      </w:r>
    </w:p>
    <w:p w14:paraId="47842453" w14:textId="77777777" w:rsidR="00E8663F" w:rsidRDefault="00B813AC">
      <w:pPr>
        <w:spacing w:after="0" w:line="275" w:lineRule="atLeast"/>
        <w:jc w:val="both"/>
      </w:pPr>
      <w:r>
        <w:rPr>
          <w:rFonts w:ascii="Times New Roman" w:hAnsi="Times New Roman"/>
          <w:color w:val="000000"/>
          <w:sz w:val="20"/>
        </w:rPr>
        <w:t> </w:t>
      </w:r>
    </w:p>
    <w:p w14:paraId="33725680" w14:textId="77777777" w:rsidR="00E8663F" w:rsidRDefault="00B813AC">
      <w:pPr>
        <w:spacing w:before="400" w:after="0" w:line="275" w:lineRule="atLeast"/>
        <w:jc w:val="center"/>
      </w:pPr>
      <w:bookmarkStart w:id="7" w:name="co_anchor_Id6a016318e6911ee9004afb393ca"/>
      <w:r>
        <w:rPr>
          <w:rFonts w:ascii="Times New Roman" w:hAnsi="Times New Roman"/>
          <w:color w:val="000000"/>
          <w:sz w:val="20"/>
        </w:rPr>
        <w:t>II. STANDARD OF REVIEW</w:t>
      </w:r>
    </w:p>
    <w:bookmarkEnd w:id="7"/>
    <w:p w14:paraId="446D37E1" w14:textId="77777777" w:rsidR="00E8663F" w:rsidRDefault="00B813AC">
      <w:pPr>
        <w:spacing w:before="200" w:after="0" w:line="275" w:lineRule="atLeast"/>
        <w:jc w:val="both"/>
      </w:pPr>
      <w:r>
        <w:rPr>
          <w:rFonts w:ascii="Times New Roman" w:hAnsi="Times New Roman"/>
          <w:color w:val="000000"/>
          <w:sz w:val="20"/>
        </w:rPr>
        <w:t xml:space="preserve">This Court reviews de novo a trial court's ruling on a motion for summary disposition. </w:t>
      </w:r>
      <w:hyperlink r:id="rId12" w:anchor="co_pp_sp_543_740">
        <w:proofErr w:type="spellStart"/>
        <w:r>
          <w:rPr>
            <w:rFonts w:ascii="Times New Roman" w:hAnsi="Times New Roman"/>
            <w:i/>
            <w:color w:val="0E568C"/>
            <w:sz w:val="20"/>
          </w:rPr>
          <w:t>Zarzyski</w:t>
        </w:r>
        <w:proofErr w:type="spellEnd"/>
        <w:r>
          <w:rPr>
            <w:rFonts w:ascii="Times New Roman" w:hAnsi="Times New Roman"/>
            <w:i/>
            <w:color w:val="0E568C"/>
            <w:sz w:val="20"/>
          </w:rPr>
          <w:t xml:space="preserve"> v </w:t>
        </w:r>
        <w:proofErr w:type="spellStart"/>
        <w:r>
          <w:rPr>
            <w:rFonts w:ascii="Times New Roman" w:hAnsi="Times New Roman"/>
            <w:i/>
            <w:color w:val="0E568C"/>
            <w:sz w:val="20"/>
          </w:rPr>
          <w:t>Nigrelli</w:t>
        </w:r>
        <w:proofErr w:type="spellEnd"/>
        <w:r>
          <w:rPr>
            <w:rFonts w:ascii="Times New Roman" w:hAnsi="Times New Roman"/>
            <w:color w:val="0E568C"/>
            <w:sz w:val="20"/>
          </w:rPr>
          <w:t xml:space="preserve">, 337 </w:t>
        </w:r>
        <w:proofErr w:type="spellStart"/>
        <w:r>
          <w:rPr>
            <w:rFonts w:ascii="Times New Roman" w:hAnsi="Times New Roman"/>
            <w:color w:val="0E568C"/>
            <w:sz w:val="20"/>
          </w:rPr>
          <w:t>Mich</w:t>
        </w:r>
        <w:proofErr w:type="spellEnd"/>
        <w:r>
          <w:rPr>
            <w:rFonts w:ascii="Times New Roman" w:hAnsi="Times New Roman"/>
            <w:color w:val="0E568C"/>
            <w:sz w:val="20"/>
          </w:rPr>
          <w:t xml:space="preserve"> App 735, 740; 976 NW2d 916 (2021)</w:t>
        </w:r>
      </w:hyperlink>
      <w:r>
        <w:rPr>
          <w:rFonts w:ascii="Times New Roman" w:hAnsi="Times New Roman"/>
          <w:color w:val="000000"/>
          <w:sz w:val="20"/>
        </w:rPr>
        <w:t xml:space="preserve">. A party is entitled to summary disposition under </w:t>
      </w:r>
      <w:hyperlink r:id="rId13">
        <w:r>
          <w:rPr>
            <w:rFonts w:ascii="Times New Roman" w:hAnsi="Times New Roman"/>
            <w:color w:val="0E568C"/>
            <w:sz w:val="20"/>
          </w:rPr>
          <w:t>MCR 2.116(C)(10)</w:t>
        </w:r>
      </w:hyperlink>
      <w:r>
        <w:rPr>
          <w:rFonts w:ascii="Times New Roman" w:hAnsi="Times New Roman"/>
          <w:color w:val="000000"/>
          <w:sz w:val="20"/>
        </w:rPr>
        <w:t xml:space="preserve"> when the evidence does not present a genuine issue of material fact. </w:t>
      </w:r>
      <w:hyperlink r:id="rId14" w:anchor="co_pp_sp_543_470">
        <w:r>
          <w:rPr>
            <w:rFonts w:ascii="Times New Roman" w:hAnsi="Times New Roman"/>
            <w:i/>
            <w:color w:val="0E568C"/>
            <w:sz w:val="20"/>
          </w:rPr>
          <w:t xml:space="preserve">Jewett v Mesick </w:t>
        </w:r>
        <w:proofErr w:type="spellStart"/>
        <w:r>
          <w:rPr>
            <w:rFonts w:ascii="Times New Roman" w:hAnsi="Times New Roman"/>
            <w:i/>
            <w:color w:val="0E568C"/>
            <w:sz w:val="20"/>
          </w:rPr>
          <w:t>Consol</w:t>
        </w:r>
        <w:proofErr w:type="spellEnd"/>
        <w:r>
          <w:rPr>
            <w:rFonts w:ascii="Times New Roman" w:hAnsi="Times New Roman"/>
            <w:i/>
            <w:color w:val="0E568C"/>
            <w:sz w:val="20"/>
          </w:rPr>
          <w:t xml:space="preserve"> Sch </w:t>
        </w:r>
        <w:proofErr w:type="spellStart"/>
        <w:r>
          <w:rPr>
            <w:rFonts w:ascii="Times New Roman" w:hAnsi="Times New Roman"/>
            <w:i/>
            <w:color w:val="0E568C"/>
            <w:sz w:val="20"/>
          </w:rPr>
          <w:t>Dist</w:t>
        </w:r>
        <w:proofErr w:type="spellEnd"/>
        <w:r>
          <w:rPr>
            <w:rFonts w:ascii="Times New Roman" w:hAnsi="Times New Roman"/>
            <w:color w:val="0E568C"/>
            <w:sz w:val="20"/>
          </w:rPr>
          <w:t xml:space="preserve">, 332 </w:t>
        </w:r>
        <w:proofErr w:type="spellStart"/>
        <w:r>
          <w:rPr>
            <w:rFonts w:ascii="Times New Roman" w:hAnsi="Times New Roman"/>
            <w:color w:val="0E568C"/>
            <w:sz w:val="20"/>
          </w:rPr>
          <w:t>Mich</w:t>
        </w:r>
        <w:proofErr w:type="spellEnd"/>
        <w:r>
          <w:rPr>
            <w:rFonts w:ascii="Times New Roman" w:hAnsi="Times New Roman"/>
            <w:color w:val="0E568C"/>
            <w:sz w:val="20"/>
          </w:rPr>
          <w:t xml:space="preserve"> App 462, </w:t>
        </w:r>
        <w:r>
          <w:rPr>
            <w:rFonts w:ascii="Times New Roman" w:hAnsi="Times New Roman"/>
            <w:color w:val="0E568C"/>
            <w:sz w:val="20"/>
          </w:rPr>
          <w:t>470; 957 NW2d 377 (2020)</w:t>
        </w:r>
      </w:hyperlink>
      <w:r>
        <w:rPr>
          <w:rFonts w:ascii="Times New Roman" w:hAnsi="Times New Roman"/>
          <w:color w:val="000000"/>
          <w:sz w:val="20"/>
        </w:rPr>
        <w:t xml:space="preserve">. “A genuine issue of material fact exists when the record, viewed in the light most favorable to the nonmoving party, leaves open an issue upon which reasonable minds might differ.” </w:t>
      </w:r>
      <w:hyperlink r:id="rId15" w:anchor="co_pp_sp_543_622">
        <w:r>
          <w:rPr>
            <w:rFonts w:ascii="Times New Roman" w:hAnsi="Times New Roman"/>
            <w:i/>
            <w:color w:val="0E568C"/>
            <w:sz w:val="20"/>
          </w:rPr>
          <w:t>MacDonald v Ottawa Co</w:t>
        </w:r>
        <w:r>
          <w:rPr>
            <w:rFonts w:ascii="Times New Roman" w:hAnsi="Times New Roman"/>
            <w:color w:val="0E568C"/>
            <w:sz w:val="20"/>
          </w:rPr>
          <w:t xml:space="preserve">, 335 </w:t>
        </w:r>
        <w:proofErr w:type="spellStart"/>
        <w:r>
          <w:rPr>
            <w:rFonts w:ascii="Times New Roman" w:hAnsi="Times New Roman"/>
            <w:color w:val="0E568C"/>
            <w:sz w:val="20"/>
          </w:rPr>
          <w:t>Mich</w:t>
        </w:r>
        <w:proofErr w:type="spellEnd"/>
        <w:r>
          <w:rPr>
            <w:rFonts w:ascii="Times New Roman" w:hAnsi="Times New Roman"/>
            <w:color w:val="0E568C"/>
            <w:sz w:val="20"/>
          </w:rPr>
          <w:t xml:space="preserve"> App 618, 622; 967 NW2d 919 (2021)</w:t>
        </w:r>
      </w:hyperlink>
      <w:r>
        <w:rPr>
          <w:rFonts w:ascii="Times New Roman" w:hAnsi="Times New Roman"/>
          <w:color w:val="000000"/>
          <w:sz w:val="20"/>
        </w:rPr>
        <w:t xml:space="preserve"> (quotation marks and citation omitted). The court must consider the pleadings, affidavits, depositions, admissions and other documentary evidence submitted in the light most favorable t</w:t>
      </w:r>
      <w:r>
        <w:rPr>
          <w:rFonts w:ascii="Times New Roman" w:hAnsi="Times New Roman"/>
          <w:color w:val="000000"/>
          <w:sz w:val="20"/>
        </w:rPr>
        <w:t xml:space="preserve">o the nonmoving party, see </w:t>
      </w:r>
      <w:hyperlink r:id="rId16">
        <w:r>
          <w:rPr>
            <w:rFonts w:ascii="Times New Roman" w:hAnsi="Times New Roman"/>
            <w:color w:val="0E568C"/>
            <w:sz w:val="20"/>
          </w:rPr>
          <w:t>MCR 2.116(G)(5)</w:t>
        </w:r>
      </w:hyperlink>
      <w:r>
        <w:rPr>
          <w:rFonts w:ascii="Times New Roman" w:hAnsi="Times New Roman"/>
          <w:color w:val="000000"/>
          <w:sz w:val="20"/>
        </w:rPr>
        <w:t xml:space="preserve">; </w:t>
      </w:r>
      <w:hyperlink r:id="rId17" w:anchor="co_pp_sp_542_206">
        <w:r>
          <w:rPr>
            <w:rFonts w:ascii="Times New Roman" w:hAnsi="Times New Roman"/>
            <w:i/>
            <w:color w:val="0E568C"/>
            <w:sz w:val="20"/>
          </w:rPr>
          <w:t xml:space="preserve">Joseph v Auto Club Ins </w:t>
        </w:r>
        <w:proofErr w:type="spellStart"/>
        <w:r>
          <w:rPr>
            <w:rFonts w:ascii="Times New Roman" w:hAnsi="Times New Roman"/>
            <w:i/>
            <w:color w:val="0E568C"/>
            <w:sz w:val="20"/>
          </w:rPr>
          <w:t>Ass'n</w:t>
        </w:r>
        <w:proofErr w:type="spellEnd"/>
        <w:r>
          <w:rPr>
            <w:rFonts w:ascii="Times New Roman" w:hAnsi="Times New Roman"/>
            <w:color w:val="0E568C"/>
            <w:sz w:val="20"/>
          </w:rPr>
          <w:t xml:space="preserve">, 491 </w:t>
        </w:r>
        <w:proofErr w:type="spellStart"/>
        <w:r>
          <w:rPr>
            <w:rFonts w:ascii="Times New Roman" w:hAnsi="Times New Roman"/>
            <w:color w:val="0E568C"/>
            <w:sz w:val="20"/>
          </w:rPr>
          <w:t>Mich</w:t>
        </w:r>
        <w:proofErr w:type="spellEnd"/>
        <w:r>
          <w:rPr>
            <w:rFonts w:ascii="Times New Roman" w:hAnsi="Times New Roman"/>
            <w:color w:val="0E568C"/>
            <w:sz w:val="20"/>
          </w:rPr>
          <w:t xml:space="preserve"> 200, 206; 815 NW2d 412 (2012)</w:t>
        </w:r>
      </w:hyperlink>
      <w:r>
        <w:rPr>
          <w:rFonts w:ascii="Times New Roman" w:hAnsi="Times New Roman"/>
          <w:color w:val="000000"/>
          <w:sz w:val="20"/>
        </w:rPr>
        <w:t xml:space="preserve">, and must draw all reasonable inferences in favor of the nonmoving party, </w:t>
      </w:r>
      <w:hyperlink r:id="rId18" w:anchor="co_pp_sp_543_415">
        <w:proofErr w:type="spellStart"/>
        <w:r>
          <w:rPr>
            <w:rFonts w:ascii="Times New Roman" w:hAnsi="Times New Roman"/>
            <w:i/>
            <w:color w:val="0E568C"/>
            <w:sz w:val="20"/>
          </w:rPr>
          <w:t>Dextrom</w:t>
        </w:r>
        <w:proofErr w:type="spellEnd"/>
        <w:r>
          <w:rPr>
            <w:rFonts w:ascii="Times New Roman" w:hAnsi="Times New Roman"/>
            <w:i/>
            <w:color w:val="0E568C"/>
            <w:sz w:val="20"/>
          </w:rPr>
          <w:t xml:space="preserve"> v Wexford Co</w:t>
        </w:r>
        <w:r>
          <w:rPr>
            <w:rFonts w:ascii="Times New Roman" w:hAnsi="Times New Roman"/>
            <w:color w:val="0E568C"/>
            <w:sz w:val="20"/>
          </w:rPr>
          <w:t xml:space="preserve">, 287 </w:t>
        </w:r>
        <w:proofErr w:type="spellStart"/>
        <w:r>
          <w:rPr>
            <w:rFonts w:ascii="Times New Roman" w:hAnsi="Times New Roman"/>
            <w:color w:val="0E568C"/>
            <w:sz w:val="20"/>
          </w:rPr>
          <w:t>Mich</w:t>
        </w:r>
        <w:proofErr w:type="spellEnd"/>
        <w:r>
          <w:rPr>
            <w:rFonts w:ascii="Times New Roman" w:hAnsi="Times New Roman"/>
            <w:color w:val="0E568C"/>
            <w:sz w:val="20"/>
          </w:rPr>
          <w:t xml:space="preserve"> App 406, 415-416; 789 NW2d 211 (2010)</w:t>
        </w:r>
      </w:hyperlink>
      <w:r>
        <w:rPr>
          <w:rFonts w:ascii="Times New Roman" w:hAnsi="Times New Roman"/>
          <w:color w:val="000000"/>
          <w:sz w:val="20"/>
        </w:rPr>
        <w:t xml:space="preserve">. The court may not make findings of fact or weigh credibility in deciding a motion for summary disposition. </w:t>
      </w:r>
      <w:hyperlink r:id="rId19" w:anchor="co_pp_sp_542_161">
        <w:r>
          <w:rPr>
            <w:rFonts w:ascii="Times New Roman" w:hAnsi="Times New Roman"/>
            <w:i/>
            <w:color w:val="0E568C"/>
            <w:sz w:val="20"/>
          </w:rPr>
          <w:t>Skinner v Square D Co</w:t>
        </w:r>
        <w:r>
          <w:rPr>
            <w:rFonts w:ascii="Times New Roman" w:hAnsi="Times New Roman"/>
            <w:color w:val="0E568C"/>
            <w:sz w:val="20"/>
          </w:rPr>
          <w:t xml:space="preserve">, 445 </w:t>
        </w:r>
        <w:proofErr w:type="spellStart"/>
        <w:r>
          <w:rPr>
            <w:rFonts w:ascii="Times New Roman" w:hAnsi="Times New Roman"/>
            <w:color w:val="0E568C"/>
            <w:sz w:val="20"/>
          </w:rPr>
          <w:t>Mich</w:t>
        </w:r>
        <w:proofErr w:type="spellEnd"/>
        <w:r>
          <w:rPr>
            <w:rFonts w:ascii="Times New Roman" w:hAnsi="Times New Roman"/>
            <w:color w:val="0E568C"/>
            <w:sz w:val="20"/>
          </w:rPr>
          <w:t xml:space="preserve"> 153, 161; 516 NW2d 475 (1994)</w:t>
        </w:r>
      </w:hyperlink>
      <w:r>
        <w:rPr>
          <w:rFonts w:ascii="Times New Roman" w:hAnsi="Times New Roman"/>
          <w:color w:val="000000"/>
          <w:sz w:val="20"/>
        </w:rPr>
        <w:t>.</w:t>
      </w:r>
    </w:p>
    <w:p w14:paraId="2D05823D" w14:textId="77777777" w:rsidR="00E8663F" w:rsidRDefault="00B813AC">
      <w:pPr>
        <w:spacing w:after="0" w:line="275" w:lineRule="atLeast"/>
        <w:jc w:val="both"/>
      </w:pPr>
      <w:r>
        <w:rPr>
          <w:rFonts w:ascii="Times New Roman" w:hAnsi="Times New Roman"/>
          <w:color w:val="000000"/>
          <w:sz w:val="20"/>
        </w:rPr>
        <w:lastRenderedPageBreak/>
        <w:t> </w:t>
      </w:r>
    </w:p>
    <w:p w14:paraId="47622D49" w14:textId="77777777" w:rsidR="00E8663F" w:rsidRDefault="00B813AC">
      <w:pPr>
        <w:spacing w:after="0" w:line="275" w:lineRule="atLeast"/>
        <w:jc w:val="both"/>
      </w:pPr>
      <w:r>
        <w:rPr>
          <w:rFonts w:ascii="Times New Roman" w:hAnsi="Times New Roman"/>
          <w:color w:val="000000"/>
          <w:sz w:val="20"/>
        </w:rPr>
        <w:t xml:space="preserve">This Court reviews de novo issues of law, such as whether plaintiff's claim sounds in premises liability or ordinary negligence. </w:t>
      </w:r>
      <w:hyperlink r:id="rId20" w:anchor="co_pp_sp_543_380">
        <w:r>
          <w:rPr>
            <w:rFonts w:ascii="Times New Roman" w:hAnsi="Times New Roman"/>
            <w:i/>
            <w:color w:val="0E568C"/>
            <w:sz w:val="20"/>
          </w:rPr>
          <w:t>Kocher v Dep't of Treasury</w:t>
        </w:r>
        <w:r>
          <w:rPr>
            <w:rFonts w:ascii="Times New Roman" w:hAnsi="Times New Roman"/>
            <w:color w:val="0E568C"/>
            <w:sz w:val="20"/>
          </w:rPr>
          <w:t xml:space="preserve">, 241 </w:t>
        </w:r>
        <w:proofErr w:type="spellStart"/>
        <w:r>
          <w:rPr>
            <w:rFonts w:ascii="Times New Roman" w:hAnsi="Times New Roman"/>
            <w:color w:val="0E568C"/>
            <w:sz w:val="20"/>
          </w:rPr>
          <w:t>Mich</w:t>
        </w:r>
        <w:proofErr w:type="spellEnd"/>
        <w:r>
          <w:rPr>
            <w:rFonts w:ascii="Times New Roman" w:hAnsi="Times New Roman"/>
            <w:color w:val="0E568C"/>
            <w:sz w:val="20"/>
          </w:rPr>
          <w:t xml:space="preserve"> App 378, 380; 615 NW2d 767 (2000)</w:t>
        </w:r>
      </w:hyperlink>
      <w:r>
        <w:rPr>
          <w:rFonts w:ascii="Times New Roman" w:hAnsi="Times New Roman"/>
          <w:color w:val="000000"/>
          <w:sz w:val="20"/>
        </w:rPr>
        <w:t>.</w:t>
      </w:r>
    </w:p>
    <w:p w14:paraId="1C701C2B" w14:textId="77777777" w:rsidR="00E8663F" w:rsidRDefault="00B813AC">
      <w:pPr>
        <w:spacing w:after="0" w:line="275" w:lineRule="atLeast"/>
        <w:jc w:val="both"/>
      </w:pPr>
      <w:r>
        <w:rPr>
          <w:rFonts w:ascii="Times New Roman" w:hAnsi="Times New Roman"/>
          <w:color w:val="000000"/>
          <w:sz w:val="20"/>
        </w:rPr>
        <w:t> </w:t>
      </w:r>
    </w:p>
    <w:p w14:paraId="13F55E83" w14:textId="77777777" w:rsidR="00E8663F" w:rsidRDefault="00B813AC">
      <w:pPr>
        <w:spacing w:before="400" w:after="0" w:line="275" w:lineRule="atLeast"/>
        <w:jc w:val="center"/>
      </w:pPr>
      <w:bookmarkStart w:id="8" w:name="co_anchor_Id6a175c18e6911ee9004afb393ca"/>
      <w:r>
        <w:rPr>
          <w:rFonts w:ascii="Times New Roman" w:hAnsi="Times New Roman"/>
          <w:color w:val="000000"/>
          <w:sz w:val="20"/>
        </w:rPr>
        <w:t>III. PREMISES LIABILITY</w:t>
      </w:r>
    </w:p>
    <w:p w14:paraId="4737869B" w14:textId="77777777" w:rsidR="00E8663F" w:rsidRDefault="00B813AC">
      <w:pPr>
        <w:spacing w:before="200" w:after="0" w:line="275" w:lineRule="atLeast"/>
        <w:jc w:val="both"/>
      </w:pPr>
      <w:bookmarkStart w:id="9" w:name="co_pp_sp_999_2_1"/>
      <w:bookmarkEnd w:id="8"/>
      <w:r>
        <w:rPr>
          <w:rFonts w:ascii="Times New Roman" w:hAnsi="Times New Roman"/>
          <w:b/>
          <w:color w:val="000000"/>
          <w:sz w:val="20"/>
        </w:rPr>
        <w:t>*2</w:t>
      </w:r>
      <w:bookmarkEnd w:id="9"/>
      <w:r>
        <w:rPr>
          <w:rFonts w:ascii="Times New Roman" w:hAnsi="Times New Roman"/>
          <w:color w:val="000000"/>
          <w:sz w:val="20"/>
        </w:rPr>
        <w:t xml:space="preserve"> Plaintiff argues that the trial court erred by holding that plaintiff's claims sounded solely in premises liability, not ordinary negli</w:t>
      </w:r>
      <w:r>
        <w:rPr>
          <w:rFonts w:ascii="Times New Roman" w:hAnsi="Times New Roman"/>
          <w:color w:val="000000"/>
          <w:sz w:val="20"/>
        </w:rPr>
        <w:t>gence. Although it is a close question, we disagree.</w:t>
      </w:r>
    </w:p>
    <w:p w14:paraId="3833B8EF" w14:textId="77777777" w:rsidR="00E8663F" w:rsidRDefault="00B813AC">
      <w:pPr>
        <w:spacing w:after="0" w:line="275" w:lineRule="atLeast"/>
        <w:jc w:val="both"/>
      </w:pPr>
      <w:r>
        <w:rPr>
          <w:rFonts w:ascii="Times New Roman" w:hAnsi="Times New Roman"/>
          <w:color w:val="000000"/>
          <w:sz w:val="20"/>
        </w:rPr>
        <w:t> </w:t>
      </w:r>
    </w:p>
    <w:p w14:paraId="334A6D62" w14:textId="77777777" w:rsidR="00E8663F" w:rsidRDefault="00B813AC">
      <w:pPr>
        <w:spacing w:after="0" w:line="275" w:lineRule="atLeast"/>
        <w:jc w:val="both"/>
      </w:pPr>
      <w:r>
        <w:rPr>
          <w:rFonts w:ascii="Times New Roman" w:hAnsi="Times New Roman"/>
          <w:color w:val="000000"/>
          <w:sz w:val="20"/>
        </w:rPr>
        <w:t xml:space="preserve">“Courts are not bound by the labels that parties attach to their claims.” </w:t>
      </w:r>
      <w:hyperlink r:id="rId21" w:anchor="co_pp_sp_543_691">
        <w:proofErr w:type="spellStart"/>
        <w:r>
          <w:rPr>
            <w:rFonts w:ascii="Times New Roman" w:hAnsi="Times New Roman"/>
            <w:i/>
            <w:color w:val="0E568C"/>
            <w:sz w:val="20"/>
          </w:rPr>
          <w:t>Buhalis</w:t>
        </w:r>
        <w:proofErr w:type="spellEnd"/>
        <w:r>
          <w:rPr>
            <w:rFonts w:ascii="Times New Roman" w:hAnsi="Times New Roman"/>
            <w:i/>
            <w:color w:val="0E568C"/>
            <w:sz w:val="20"/>
          </w:rPr>
          <w:t xml:space="preserve"> v Trinity Continuing Care Servs</w:t>
        </w:r>
        <w:r>
          <w:rPr>
            <w:rFonts w:ascii="Times New Roman" w:hAnsi="Times New Roman"/>
            <w:color w:val="0E568C"/>
            <w:sz w:val="20"/>
          </w:rPr>
          <w:t xml:space="preserve">, 296 </w:t>
        </w:r>
        <w:proofErr w:type="spellStart"/>
        <w:r>
          <w:rPr>
            <w:rFonts w:ascii="Times New Roman" w:hAnsi="Times New Roman"/>
            <w:color w:val="0E568C"/>
            <w:sz w:val="20"/>
          </w:rPr>
          <w:t>Mich</w:t>
        </w:r>
        <w:proofErr w:type="spellEnd"/>
        <w:r>
          <w:rPr>
            <w:rFonts w:ascii="Times New Roman" w:hAnsi="Times New Roman"/>
            <w:color w:val="0E568C"/>
            <w:sz w:val="20"/>
          </w:rPr>
          <w:t xml:space="preserve"> App 685, 691; 822 NW2d </w:t>
        </w:r>
        <w:r>
          <w:rPr>
            <w:rFonts w:ascii="Times New Roman" w:hAnsi="Times New Roman"/>
            <w:color w:val="0E568C"/>
            <w:sz w:val="20"/>
          </w:rPr>
          <w:t>254 (2012)</w:t>
        </w:r>
      </w:hyperlink>
      <w:r>
        <w:rPr>
          <w:rFonts w:ascii="Times New Roman" w:hAnsi="Times New Roman"/>
          <w:color w:val="000000"/>
          <w:sz w:val="20"/>
        </w:rPr>
        <w:t xml:space="preserve">, overruled in part on other grounds by </w:t>
      </w:r>
      <w:hyperlink r:id="rId22" w:anchor="co_pp_sp_542_–––">
        <w:proofErr w:type="spellStart"/>
        <w:r>
          <w:rPr>
            <w:rFonts w:ascii="Times New Roman" w:hAnsi="Times New Roman"/>
            <w:i/>
            <w:color w:val="0E568C"/>
            <w:sz w:val="20"/>
          </w:rPr>
          <w:t>Kandil-Elsayed</w:t>
        </w:r>
        <w:proofErr w:type="spellEnd"/>
        <w:r>
          <w:rPr>
            <w:rFonts w:ascii="Times New Roman" w:hAnsi="Times New Roman"/>
            <w:i/>
            <w:color w:val="0E568C"/>
            <w:sz w:val="20"/>
          </w:rPr>
          <w:t xml:space="preserve"> v F&amp;E Oil, Inc</w:t>
        </w:r>
        <w:r>
          <w:rPr>
            <w:rFonts w:ascii="Times New Roman" w:hAnsi="Times New Roman"/>
            <w:color w:val="0E568C"/>
            <w:sz w:val="20"/>
          </w:rPr>
          <w:t xml:space="preserve">, ––– </w:t>
        </w:r>
        <w:proofErr w:type="spellStart"/>
        <w:r>
          <w:rPr>
            <w:rFonts w:ascii="Times New Roman" w:hAnsi="Times New Roman"/>
            <w:color w:val="0E568C"/>
            <w:sz w:val="20"/>
          </w:rPr>
          <w:t>Mich</w:t>
        </w:r>
        <w:proofErr w:type="spellEnd"/>
        <w:r>
          <w:rPr>
            <w:rFonts w:ascii="Times New Roman" w:hAnsi="Times New Roman"/>
            <w:color w:val="0E568C"/>
            <w:sz w:val="20"/>
          </w:rPr>
          <w:t xml:space="preserve"> ––––, –––– (2023)</w:t>
        </w:r>
      </w:hyperlink>
      <w:r>
        <w:rPr>
          <w:rFonts w:ascii="Times New Roman" w:hAnsi="Times New Roman"/>
          <w:color w:val="000000"/>
          <w:sz w:val="20"/>
        </w:rPr>
        <w:t>. Rather, courts must determine the gravamen of an action “by reading the c</w:t>
      </w:r>
      <w:r>
        <w:rPr>
          <w:rFonts w:ascii="Times New Roman" w:hAnsi="Times New Roman"/>
          <w:color w:val="000000"/>
          <w:sz w:val="20"/>
        </w:rPr>
        <w:t xml:space="preserve">omplaint as a whole, and by looking beyond mere procedural labels to determine the exact nature of the claim.” </w:t>
      </w:r>
      <w:hyperlink r:id="rId23" w:anchor="co_pp_sp_543_691">
        <w:r>
          <w:rPr>
            <w:rFonts w:ascii="Times New Roman" w:hAnsi="Times New Roman"/>
            <w:i/>
            <w:color w:val="0E568C"/>
            <w:sz w:val="20"/>
          </w:rPr>
          <w:t>Id.</w:t>
        </w:r>
        <w:r>
          <w:rPr>
            <w:rFonts w:ascii="Times New Roman" w:hAnsi="Times New Roman"/>
            <w:color w:val="0E568C"/>
            <w:sz w:val="20"/>
          </w:rPr>
          <w:t xml:space="preserve"> at 691-692</w:t>
        </w:r>
      </w:hyperlink>
      <w:r>
        <w:rPr>
          <w:rFonts w:ascii="Times New Roman" w:hAnsi="Times New Roman"/>
          <w:color w:val="000000"/>
          <w:sz w:val="20"/>
        </w:rPr>
        <w:t xml:space="preserve"> (citation omitted). In a </w:t>
      </w:r>
      <w:proofErr w:type="gramStart"/>
      <w:r>
        <w:rPr>
          <w:rFonts w:ascii="Times New Roman" w:hAnsi="Times New Roman"/>
          <w:color w:val="000000"/>
          <w:sz w:val="20"/>
        </w:rPr>
        <w:t>premises</w:t>
      </w:r>
      <w:proofErr w:type="gramEnd"/>
      <w:r>
        <w:rPr>
          <w:rFonts w:ascii="Times New Roman" w:hAnsi="Times New Roman"/>
          <w:color w:val="000000"/>
          <w:sz w:val="20"/>
        </w:rPr>
        <w:t xml:space="preserve"> liability case, a defendant's liability “arises solely from the defendant's duty as owner, possessor, or occupier of land.” </w:t>
      </w:r>
      <w:hyperlink r:id="rId24" w:anchor="co_pp_sp_543_692">
        <w:r>
          <w:rPr>
            <w:rFonts w:ascii="Times New Roman" w:hAnsi="Times New Roman"/>
            <w:i/>
            <w:color w:val="0E568C"/>
            <w:sz w:val="20"/>
          </w:rPr>
          <w:t>Id.</w:t>
        </w:r>
        <w:r>
          <w:rPr>
            <w:rFonts w:ascii="Times New Roman" w:hAnsi="Times New Roman"/>
            <w:color w:val="0E568C"/>
            <w:sz w:val="20"/>
          </w:rPr>
          <w:t xml:space="preserve"> at 692</w:t>
        </w:r>
      </w:hyperlink>
      <w:r>
        <w:rPr>
          <w:rFonts w:ascii="Times New Roman" w:hAnsi="Times New Roman"/>
          <w:color w:val="000000"/>
          <w:sz w:val="20"/>
        </w:rPr>
        <w:t xml:space="preserve"> (citation omitted). “If the plai</w:t>
      </w:r>
      <w:r>
        <w:rPr>
          <w:rFonts w:ascii="Times New Roman" w:hAnsi="Times New Roman"/>
          <w:color w:val="000000"/>
          <w:sz w:val="20"/>
        </w:rPr>
        <w:t>ntiff's injury arose from an allegedly dangerous condition on the land, the action sounds in premises liability rather than ordinary negligence; this is true even when the plaintiff alleges that the premises possessor created the condition giving rise to t</w:t>
      </w:r>
      <w:r>
        <w:rPr>
          <w:rFonts w:ascii="Times New Roman" w:hAnsi="Times New Roman"/>
          <w:color w:val="000000"/>
          <w:sz w:val="20"/>
        </w:rPr>
        <w:t xml:space="preserve">he plaintiff's injury. </w:t>
      </w:r>
      <w:r>
        <w:rPr>
          <w:rFonts w:ascii="Times New Roman" w:hAnsi="Times New Roman"/>
          <w:i/>
          <w:color w:val="000000"/>
          <w:sz w:val="20"/>
        </w:rPr>
        <w:t>Id.</w:t>
      </w:r>
      <w:r>
        <w:rPr>
          <w:rFonts w:ascii="Times New Roman" w:hAnsi="Times New Roman"/>
          <w:color w:val="000000"/>
          <w:sz w:val="20"/>
        </w:rPr>
        <w:t xml:space="preserve">, citing </w:t>
      </w:r>
      <w:hyperlink r:id="rId25" w:anchor="co_pp_sp_542_18">
        <w:r>
          <w:rPr>
            <w:rFonts w:ascii="Times New Roman" w:hAnsi="Times New Roman"/>
            <w:i/>
            <w:color w:val="0E568C"/>
            <w:sz w:val="20"/>
          </w:rPr>
          <w:t>James v Alberts</w:t>
        </w:r>
        <w:r>
          <w:rPr>
            <w:rFonts w:ascii="Times New Roman" w:hAnsi="Times New Roman"/>
            <w:color w:val="0E568C"/>
            <w:sz w:val="20"/>
          </w:rPr>
          <w:t xml:space="preserve">, 464 </w:t>
        </w:r>
        <w:proofErr w:type="spellStart"/>
        <w:r>
          <w:rPr>
            <w:rFonts w:ascii="Times New Roman" w:hAnsi="Times New Roman"/>
            <w:color w:val="0E568C"/>
            <w:sz w:val="20"/>
          </w:rPr>
          <w:t>Mich</w:t>
        </w:r>
        <w:proofErr w:type="spellEnd"/>
        <w:r>
          <w:rPr>
            <w:rFonts w:ascii="Times New Roman" w:hAnsi="Times New Roman"/>
            <w:color w:val="0E568C"/>
            <w:sz w:val="20"/>
          </w:rPr>
          <w:t xml:space="preserve"> 12, 18-19; 626 NW2d 158 (2001)</w:t>
        </w:r>
      </w:hyperlink>
      <w:r>
        <w:rPr>
          <w:rFonts w:ascii="Times New Roman" w:hAnsi="Times New Roman"/>
          <w:color w:val="000000"/>
          <w:sz w:val="20"/>
        </w:rPr>
        <w:t>.</w:t>
      </w:r>
    </w:p>
    <w:p w14:paraId="49532A28" w14:textId="77777777" w:rsidR="00E8663F" w:rsidRDefault="00B813AC">
      <w:pPr>
        <w:spacing w:after="0" w:line="275" w:lineRule="atLeast"/>
        <w:jc w:val="both"/>
      </w:pPr>
      <w:r>
        <w:rPr>
          <w:rFonts w:ascii="Times New Roman" w:hAnsi="Times New Roman"/>
          <w:color w:val="000000"/>
          <w:sz w:val="20"/>
        </w:rPr>
        <w:t> </w:t>
      </w:r>
    </w:p>
    <w:p w14:paraId="16852D68" w14:textId="77777777" w:rsidR="00E8663F" w:rsidRDefault="00B813AC">
      <w:pPr>
        <w:spacing w:after="0" w:line="275" w:lineRule="atLeast"/>
        <w:jc w:val="both"/>
      </w:pPr>
      <w:r>
        <w:rPr>
          <w:rFonts w:ascii="Times New Roman" w:hAnsi="Times New Roman"/>
          <w:color w:val="000000"/>
          <w:sz w:val="20"/>
        </w:rPr>
        <w:t>In this case, plaintiff alleged that she tripped on a wheeled cart or dolly on the floor of defendant's groce</w:t>
      </w:r>
      <w:r>
        <w:rPr>
          <w:rFonts w:ascii="Times New Roman" w:hAnsi="Times New Roman"/>
          <w:color w:val="000000"/>
          <w:sz w:val="20"/>
        </w:rPr>
        <w:t>ry store. While plaintiff's theory was that an employee moved the cart behind her while she was looking at the produce, she did not allege any direct conduct by an employee that caused her injury. For example, she did not allege that an employee was manipu</w:t>
      </w:r>
      <w:r>
        <w:rPr>
          <w:rFonts w:ascii="Times New Roman" w:hAnsi="Times New Roman"/>
          <w:color w:val="000000"/>
          <w:sz w:val="20"/>
        </w:rPr>
        <w:t>lating the cart when she tripped over it, or that an employee had set a cart in motion that injured her by its movement. Rather, plaintiff's theory was simply that an employee of defendant negligently left the cart in a place where she would trip on it. In</w:t>
      </w:r>
      <w:r>
        <w:rPr>
          <w:rFonts w:ascii="Times New Roman" w:hAnsi="Times New Roman"/>
          <w:color w:val="000000"/>
          <w:sz w:val="20"/>
        </w:rPr>
        <w:t xml:space="preserve"> other words, plaintiff theorized </w:t>
      </w:r>
      <w:r>
        <w:rPr>
          <w:rFonts w:ascii="Times New Roman" w:hAnsi="Times New Roman"/>
          <w:color w:val="000000"/>
          <w:sz w:val="20"/>
        </w:rPr>
        <w:t xml:space="preserve">that an employee created a hazardous condition on the land, notwithstanding that the creation of this hazard may have occurred mere minutes or moments before plaintiff's fall. This theory sounds in premises liability. See </w:t>
      </w:r>
      <w:hyperlink r:id="rId26" w:anchor="co_pp_sp_543_14">
        <w:proofErr w:type="spellStart"/>
        <w:r>
          <w:rPr>
            <w:rFonts w:ascii="Times New Roman" w:hAnsi="Times New Roman"/>
            <w:i/>
            <w:color w:val="0E568C"/>
            <w:sz w:val="20"/>
          </w:rPr>
          <w:t>Pugno</w:t>
        </w:r>
        <w:proofErr w:type="spellEnd"/>
        <w:r>
          <w:rPr>
            <w:rFonts w:ascii="Times New Roman" w:hAnsi="Times New Roman"/>
            <w:i/>
            <w:color w:val="0E568C"/>
            <w:sz w:val="20"/>
          </w:rPr>
          <w:t xml:space="preserve"> v Blue Harvest Farms, LLC</w:t>
        </w:r>
        <w:r>
          <w:rPr>
            <w:rFonts w:ascii="Times New Roman" w:hAnsi="Times New Roman"/>
            <w:color w:val="0E568C"/>
            <w:sz w:val="20"/>
          </w:rPr>
          <w:t xml:space="preserve">, 326 </w:t>
        </w:r>
        <w:proofErr w:type="spellStart"/>
        <w:r>
          <w:rPr>
            <w:rFonts w:ascii="Times New Roman" w:hAnsi="Times New Roman"/>
            <w:color w:val="0E568C"/>
            <w:sz w:val="20"/>
          </w:rPr>
          <w:t>Mich</w:t>
        </w:r>
        <w:proofErr w:type="spellEnd"/>
        <w:r>
          <w:rPr>
            <w:rFonts w:ascii="Times New Roman" w:hAnsi="Times New Roman"/>
            <w:color w:val="0E568C"/>
            <w:sz w:val="20"/>
          </w:rPr>
          <w:t xml:space="preserve"> App 1, 14; 930 NW2d 393 (2018)</w:t>
        </w:r>
      </w:hyperlink>
      <w:r>
        <w:rPr>
          <w:rFonts w:ascii="Times New Roman" w:hAnsi="Times New Roman"/>
          <w:color w:val="000000"/>
          <w:sz w:val="20"/>
        </w:rPr>
        <w:t xml:space="preserve"> (holding that the plaintiff's claims regarding his alleged injury from a falling stack of pallets in the defendant's store sounded </w:t>
      </w:r>
      <w:r>
        <w:rPr>
          <w:rFonts w:ascii="Times New Roman" w:hAnsi="Times New Roman"/>
          <w:color w:val="000000"/>
          <w:sz w:val="20"/>
        </w:rPr>
        <w:t>solely in premises liability, and noting that there was no allegation that defendant or its employees “actively knocked the pallets over or engaged in direct conduct that caused the pallets to fall onto plaintiff.”). Although she alleges that defendant's e</w:t>
      </w:r>
      <w:r>
        <w:rPr>
          <w:rFonts w:ascii="Times New Roman" w:hAnsi="Times New Roman"/>
          <w:color w:val="000000"/>
          <w:sz w:val="20"/>
        </w:rPr>
        <w:t xml:space="preserve">mployees created the hazard, that allegation does not alter the gravamen of her claim. </w:t>
      </w:r>
      <w:hyperlink r:id="rId27" w:anchor="co_pp_sp_543_691">
        <w:proofErr w:type="spellStart"/>
        <w:r>
          <w:rPr>
            <w:rFonts w:ascii="Times New Roman" w:hAnsi="Times New Roman"/>
            <w:i/>
            <w:color w:val="0E568C"/>
            <w:sz w:val="20"/>
          </w:rPr>
          <w:t>Buhalis</w:t>
        </w:r>
        <w:proofErr w:type="spellEnd"/>
        <w:r>
          <w:rPr>
            <w:rFonts w:ascii="Times New Roman" w:hAnsi="Times New Roman"/>
            <w:color w:val="0E568C"/>
            <w:sz w:val="20"/>
          </w:rPr>
          <w:t xml:space="preserve">, 296 </w:t>
        </w:r>
        <w:proofErr w:type="spellStart"/>
        <w:r>
          <w:rPr>
            <w:rFonts w:ascii="Times New Roman" w:hAnsi="Times New Roman"/>
            <w:color w:val="0E568C"/>
            <w:sz w:val="20"/>
          </w:rPr>
          <w:t>Mich</w:t>
        </w:r>
        <w:proofErr w:type="spellEnd"/>
        <w:r>
          <w:rPr>
            <w:rFonts w:ascii="Times New Roman" w:hAnsi="Times New Roman"/>
            <w:color w:val="0E568C"/>
            <w:sz w:val="20"/>
          </w:rPr>
          <w:t xml:space="preserve"> App at 691</w:t>
        </w:r>
      </w:hyperlink>
      <w:r>
        <w:rPr>
          <w:rFonts w:ascii="Times New Roman" w:hAnsi="Times New Roman"/>
          <w:color w:val="000000"/>
          <w:sz w:val="20"/>
        </w:rPr>
        <w:t>. Under these circumstances, the trial court did not err by holding that the gravamen o</w:t>
      </w:r>
      <w:r>
        <w:rPr>
          <w:rFonts w:ascii="Times New Roman" w:hAnsi="Times New Roman"/>
          <w:color w:val="000000"/>
          <w:sz w:val="20"/>
        </w:rPr>
        <w:t xml:space="preserve">f plaintiff's claim was sounded in premises liability. </w:t>
      </w:r>
      <w:hyperlink r:id="rId28" w:anchor="co_pp_sp_543_380">
        <w:r>
          <w:rPr>
            <w:rFonts w:ascii="Times New Roman" w:hAnsi="Times New Roman"/>
            <w:i/>
            <w:color w:val="0E568C"/>
            <w:sz w:val="20"/>
          </w:rPr>
          <w:t>Kocher</w:t>
        </w:r>
        <w:r>
          <w:rPr>
            <w:rFonts w:ascii="Times New Roman" w:hAnsi="Times New Roman"/>
            <w:color w:val="0E568C"/>
            <w:sz w:val="20"/>
          </w:rPr>
          <w:t xml:space="preserve">, 241 </w:t>
        </w:r>
        <w:proofErr w:type="spellStart"/>
        <w:r>
          <w:rPr>
            <w:rFonts w:ascii="Times New Roman" w:hAnsi="Times New Roman"/>
            <w:color w:val="0E568C"/>
            <w:sz w:val="20"/>
          </w:rPr>
          <w:t>Mich</w:t>
        </w:r>
        <w:proofErr w:type="spellEnd"/>
        <w:r>
          <w:rPr>
            <w:rFonts w:ascii="Times New Roman" w:hAnsi="Times New Roman"/>
            <w:color w:val="0E568C"/>
            <w:sz w:val="20"/>
          </w:rPr>
          <w:t xml:space="preserve"> App at 380</w:t>
        </w:r>
      </w:hyperlink>
      <w:r>
        <w:rPr>
          <w:rFonts w:ascii="Times New Roman" w:hAnsi="Times New Roman"/>
          <w:color w:val="000000"/>
          <w:sz w:val="20"/>
        </w:rPr>
        <w:t>.</w:t>
      </w:r>
    </w:p>
    <w:p w14:paraId="0E2B9F57" w14:textId="77777777" w:rsidR="00E8663F" w:rsidRDefault="00B813AC">
      <w:pPr>
        <w:spacing w:after="0" w:line="275" w:lineRule="atLeast"/>
        <w:jc w:val="both"/>
      </w:pPr>
      <w:r>
        <w:rPr>
          <w:rFonts w:ascii="Times New Roman" w:hAnsi="Times New Roman"/>
          <w:color w:val="000000"/>
          <w:sz w:val="20"/>
        </w:rPr>
        <w:t> </w:t>
      </w:r>
    </w:p>
    <w:p w14:paraId="3A8C74B1" w14:textId="77777777" w:rsidR="00E8663F" w:rsidRDefault="00B813AC">
      <w:pPr>
        <w:spacing w:before="400" w:after="0" w:line="275" w:lineRule="atLeast"/>
        <w:jc w:val="center"/>
      </w:pPr>
      <w:bookmarkStart w:id="10" w:name="co_anchor_Id6a40dd18e6911ee9004afb393ca"/>
      <w:r>
        <w:rPr>
          <w:rFonts w:ascii="Times New Roman" w:hAnsi="Times New Roman"/>
          <w:color w:val="000000"/>
          <w:sz w:val="20"/>
        </w:rPr>
        <w:t>IV. OPEN AND OBVIOUS</w:t>
      </w:r>
    </w:p>
    <w:bookmarkEnd w:id="10"/>
    <w:p w14:paraId="39658AF6" w14:textId="77777777" w:rsidR="00E8663F" w:rsidRDefault="00B813AC">
      <w:pPr>
        <w:spacing w:before="200" w:after="0" w:line="275" w:lineRule="atLeast"/>
        <w:jc w:val="both"/>
      </w:pPr>
      <w:r>
        <w:rPr>
          <w:rFonts w:ascii="Times New Roman" w:hAnsi="Times New Roman"/>
          <w:color w:val="000000"/>
          <w:sz w:val="20"/>
        </w:rPr>
        <w:t>In premises liability cases, “a plaintiff must prove the elements of negligence: (1) the defendant owed the plaintiff a duty, (2) the defendant breached that duty, (3) the breach was the proximate cause of the plaintiff's injury, and (4) the plaintiff suff</w:t>
      </w:r>
      <w:r>
        <w:rPr>
          <w:rFonts w:ascii="Times New Roman" w:hAnsi="Times New Roman"/>
          <w:color w:val="000000"/>
          <w:sz w:val="20"/>
        </w:rPr>
        <w:t xml:space="preserve">ered damages.” </w:t>
      </w:r>
      <w:hyperlink r:id="rId29" w:anchor="co_pp_sp_543_418">
        <w:proofErr w:type="spellStart"/>
        <w:r>
          <w:rPr>
            <w:rFonts w:ascii="Times New Roman" w:hAnsi="Times New Roman"/>
            <w:i/>
            <w:color w:val="0E568C"/>
            <w:sz w:val="20"/>
          </w:rPr>
          <w:t>Mouzon</w:t>
        </w:r>
        <w:proofErr w:type="spellEnd"/>
        <w:r>
          <w:rPr>
            <w:rFonts w:ascii="Times New Roman" w:hAnsi="Times New Roman"/>
            <w:i/>
            <w:color w:val="0E568C"/>
            <w:sz w:val="20"/>
          </w:rPr>
          <w:t xml:space="preserve"> v Achievable Visions</w:t>
        </w:r>
        <w:r>
          <w:rPr>
            <w:rFonts w:ascii="Times New Roman" w:hAnsi="Times New Roman"/>
            <w:color w:val="0E568C"/>
            <w:sz w:val="20"/>
          </w:rPr>
          <w:t xml:space="preserve">, 308 </w:t>
        </w:r>
        <w:proofErr w:type="spellStart"/>
        <w:r>
          <w:rPr>
            <w:rFonts w:ascii="Times New Roman" w:hAnsi="Times New Roman"/>
            <w:color w:val="0E568C"/>
            <w:sz w:val="20"/>
          </w:rPr>
          <w:t>Mich</w:t>
        </w:r>
        <w:proofErr w:type="spellEnd"/>
        <w:r>
          <w:rPr>
            <w:rFonts w:ascii="Times New Roman" w:hAnsi="Times New Roman"/>
            <w:color w:val="0E568C"/>
            <w:sz w:val="20"/>
          </w:rPr>
          <w:t xml:space="preserve"> App 415, 418; 864 NW2d 606 (2014)</w:t>
        </w:r>
      </w:hyperlink>
      <w:r>
        <w:rPr>
          <w:rFonts w:ascii="Times New Roman" w:hAnsi="Times New Roman"/>
          <w:color w:val="000000"/>
          <w:sz w:val="20"/>
        </w:rPr>
        <w:t xml:space="preserve"> (quotation marks and citation omitted). “Questions regarding whether a duty exists are for the court to decide as a</w:t>
      </w:r>
      <w:r>
        <w:rPr>
          <w:rFonts w:ascii="Times New Roman" w:hAnsi="Times New Roman"/>
          <w:color w:val="000000"/>
          <w:sz w:val="20"/>
        </w:rPr>
        <w:t xml:space="preserve"> matter of law.” </w:t>
      </w:r>
      <w:r>
        <w:rPr>
          <w:rFonts w:ascii="Times New Roman" w:hAnsi="Times New Roman"/>
          <w:i/>
          <w:color w:val="000000"/>
          <w:sz w:val="20"/>
        </w:rPr>
        <w:t>Id.</w:t>
      </w:r>
      <w:r>
        <w:rPr>
          <w:rFonts w:ascii="Times New Roman" w:hAnsi="Times New Roman"/>
          <w:color w:val="000000"/>
          <w:sz w:val="20"/>
        </w:rPr>
        <w:t xml:space="preserve"> (quotation marks and citation omitted). “The threshold question in a negligence action is whether the defendant owed a duty to the plaintiff.” </w:t>
      </w:r>
      <w:hyperlink r:id="rId30" w:anchor="co_pp_sp_542_463">
        <w:r>
          <w:rPr>
            <w:rFonts w:ascii="Times New Roman" w:hAnsi="Times New Roman"/>
            <w:i/>
            <w:color w:val="0E568C"/>
            <w:sz w:val="20"/>
          </w:rPr>
          <w:t>Fultz v Union-Commerce Assoc</w:t>
        </w:r>
        <w:r>
          <w:rPr>
            <w:rFonts w:ascii="Times New Roman" w:hAnsi="Times New Roman"/>
            <w:color w:val="0E568C"/>
            <w:sz w:val="20"/>
          </w:rPr>
          <w:t xml:space="preserve">, 470 </w:t>
        </w:r>
        <w:proofErr w:type="spellStart"/>
        <w:r>
          <w:rPr>
            <w:rFonts w:ascii="Times New Roman" w:hAnsi="Times New Roman"/>
            <w:color w:val="0E568C"/>
            <w:sz w:val="20"/>
          </w:rPr>
          <w:t>Mich</w:t>
        </w:r>
        <w:proofErr w:type="spellEnd"/>
        <w:r>
          <w:rPr>
            <w:rFonts w:ascii="Times New Roman" w:hAnsi="Times New Roman"/>
            <w:color w:val="0E568C"/>
            <w:sz w:val="20"/>
          </w:rPr>
          <w:t xml:space="preserve"> 460, 463; 683 NW2d 587 (2004)</w:t>
        </w:r>
      </w:hyperlink>
      <w:r>
        <w:rPr>
          <w:rFonts w:ascii="Times New Roman" w:hAnsi="Times New Roman"/>
          <w:color w:val="000000"/>
          <w:sz w:val="20"/>
        </w:rPr>
        <w:t xml:space="preserve">. There can be no tort liability if the defendant did not owe a duty to the plaintiff. </w:t>
      </w:r>
      <w:r>
        <w:rPr>
          <w:rFonts w:ascii="Times New Roman" w:hAnsi="Times New Roman"/>
          <w:i/>
          <w:color w:val="000000"/>
          <w:sz w:val="20"/>
        </w:rPr>
        <w:t>Id.</w:t>
      </w:r>
    </w:p>
    <w:p w14:paraId="0790BEFC" w14:textId="77777777" w:rsidR="00E8663F" w:rsidRDefault="00B813AC">
      <w:pPr>
        <w:spacing w:after="0" w:line="275" w:lineRule="atLeast"/>
        <w:jc w:val="both"/>
      </w:pPr>
      <w:r>
        <w:rPr>
          <w:rFonts w:ascii="Times New Roman" w:hAnsi="Times New Roman"/>
          <w:color w:val="000000"/>
          <w:sz w:val="20"/>
        </w:rPr>
        <w:t> </w:t>
      </w:r>
    </w:p>
    <w:p w14:paraId="56FB8530" w14:textId="77777777" w:rsidR="00E8663F" w:rsidRDefault="00B813AC">
      <w:pPr>
        <w:spacing w:after="0" w:line="275" w:lineRule="atLeast"/>
        <w:jc w:val="both"/>
      </w:pPr>
      <w:bookmarkStart w:id="11" w:name="co_pp_sp_999_3_1"/>
      <w:r>
        <w:rPr>
          <w:rFonts w:ascii="Times New Roman" w:hAnsi="Times New Roman"/>
          <w:b/>
          <w:color w:val="000000"/>
          <w:sz w:val="20"/>
        </w:rPr>
        <w:t>*3</w:t>
      </w:r>
      <w:bookmarkEnd w:id="11"/>
      <w:r>
        <w:rPr>
          <w:rFonts w:ascii="Times New Roman" w:hAnsi="Times New Roman"/>
          <w:color w:val="000000"/>
          <w:sz w:val="20"/>
        </w:rPr>
        <w:t xml:space="preserve"> In general, “a premises possessor owes a duty to an invitee to exercise reasonable care to protect the invitee from an unreasonabl</w:t>
      </w:r>
      <w:r>
        <w:rPr>
          <w:rFonts w:ascii="Times New Roman" w:hAnsi="Times New Roman"/>
          <w:color w:val="000000"/>
          <w:sz w:val="20"/>
        </w:rPr>
        <w:t xml:space="preserve">e risk of harm caused by a dangerous condition on the land.” </w:t>
      </w:r>
      <w:hyperlink r:id="rId31" w:anchor="co_pp_sp_543_626">
        <w:proofErr w:type="spellStart"/>
        <w:r>
          <w:rPr>
            <w:rFonts w:ascii="Times New Roman" w:hAnsi="Times New Roman"/>
            <w:i/>
            <w:color w:val="0E568C"/>
            <w:sz w:val="20"/>
          </w:rPr>
          <w:t>Finazzo</w:t>
        </w:r>
        <w:proofErr w:type="spellEnd"/>
        <w:r>
          <w:rPr>
            <w:rFonts w:ascii="Times New Roman" w:hAnsi="Times New Roman"/>
            <w:i/>
            <w:color w:val="0E568C"/>
            <w:sz w:val="20"/>
          </w:rPr>
          <w:t xml:space="preserve"> v Fire Equip Co</w:t>
        </w:r>
        <w:r>
          <w:rPr>
            <w:rFonts w:ascii="Times New Roman" w:hAnsi="Times New Roman"/>
            <w:color w:val="0E568C"/>
            <w:sz w:val="20"/>
          </w:rPr>
          <w:t xml:space="preserve">, 323 </w:t>
        </w:r>
        <w:proofErr w:type="spellStart"/>
        <w:r>
          <w:rPr>
            <w:rFonts w:ascii="Times New Roman" w:hAnsi="Times New Roman"/>
            <w:color w:val="0E568C"/>
            <w:sz w:val="20"/>
          </w:rPr>
          <w:t>Mich</w:t>
        </w:r>
        <w:proofErr w:type="spellEnd"/>
        <w:r>
          <w:rPr>
            <w:rFonts w:ascii="Times New Roman" w:hAnsi="Times New Roman"/>
            <w:color w:val="0E568C"/>
            <w:sz w:val="20"/>
          </w:rPr>
          <w:t xml:space="preserve"> App 620, 626; 918 NW2d 200 (2018)</w:t>
        </w:r>
      </w:hyperlink>
      <w:r>
        <w:rPr>
          <w:rFonts w:ascii="Times New Roman" w:hAnsi="Times New Roman"/>
          <w:color w:val="000000"/>
          <w:sz w:val="20"/>
        </w:rPr>
        <w:t xml:space="preserve"> (citation omitted). An invitee is someone who enters the “property of ano</w:t>
      </w:r>
      <w:r>
        <w:rPr>
          <w:rFonts w:ascii="Times New Roman" w:hAnsi="Times New Roman"/>
          <w:color w:val="000000"/>
          <w:sz w:val="20"/>
        </w:rPr>
        <w:t xml:space="preserve">ther for </w:t>
      </w:r>
      <w:r>
        <w:rPr>
          <w:rFonts w:ascii="Times New Roman" w:hAnsi="Times New Roman"/>
          <w:color w:val="000000"/>
          <w:sz w:val="20"/>
        </w:rPr>
        <w:lastRenderedPageBreak/>
        <w:t xml:space="preserve">business purposes.” </w:t>
      </w:r>
      <w:hyperlink r:id="rId32" w:anchor="co_pp_sp_542_597">
        <w:r>
          <w:rPr>
            <w:rFonts w:ascii="Times New Roman" w:hAnsi="Times New Roman"/>
            <w:i/>
            <w:color w:val="0E568C"/>
            <w:sz w:val="20"/>
          </w:rPr>
          <w:t>Stitt v Holland Abundant Life Fellowship</w:t>
        </w:r>
        <w:r>
          <w:rPr>
            <w:rFonts w:ascii="Times New Roman" w:hAnsi="Times New Roman"/>
            <w:color w:val="0E568C"/>
            <w:sz w:val="20"/>
          </w:rPr>
          <w:t xml:space="preserve">, 462 </w:t>
        </w:r>
        <w:proofErr w:type="spellStart"/>
        <w:r>
          <w:rPr>
            <w:rFonts w:ascii="Times New Roman" w:hAnsi="Times New Roman"/>
            <w:color w:val="0E568C"/>
            <w:sz w:val="20"/>
          </w:rPr>
          <w:t>Mich</w:t>
        </w:r>
        <w:proofErr w:type="spellEnd"/>
        <w:r>
          <w:rPr>
            <w:rFonts w:ascii="Times New Roman" w:hAnsi="Times New Roman"/>
            <w:color w:val="0E568C"/>
            <w:sz w:val="20"/>
          </w:rPr>
          <w:t xml:space="preserve"> 591, 597; 614 NW2d 88 (2000)</w:t>
        </w:r>
      </w:hyperlink>
      <w:r>
        <w:rPr>
          <w:rFonts w:ascii="Times New Roman" w:hAnsi="Times New Roman"/>
          <w:color w:val="000000"/>
          <w:sz w:val="20"/>
        </w:rPr>
        <w:t>.</w:t>
      </w:r>
    </w:p>
    <w:p w14:paraId="0A3172C2" w14:textId="77777777" w:rsidR="00E8663F" w:rsidRDefault="00B813AC">
      <w:pPr>
        <w:spacing w:after="0" w:line="275" w:lineRule="atLeast"/>
        <w:jc w:val="both"/>
      </w:pPr>
      <w:r>
        <w:rPr>
          <w:rFonts w:ascii="Times New Roman" w:hAnsi="Times New Roman"/>
          <w:color w:val="000000"/>
          <w:sz w:val="20"/>
        </w:rPr>
        <w:t> </w:t>
      </w:r>
    </w:p>
    <w:p w14:paraId="260C3AAB" w14:textId="77777777" w:rsidR="00E8663F" w:rsidRDefault="00B813AC">
      <w:pPr>
        <w:spacing w:after="0" w:line="275" w:lineRule="atLeast"/>
        <w:jc w:val="both"/>
      </w:pPr>
      <w:r>
        <w:rPr>
          <w:rFonts w:ascii="Times New Roman" w:hAnsi="Times New Roman"/>
          <w:color w:val="000000"/>
          <w:sz w:val="20"/>
        </w:rPr>
        <w:t xml:space="preserve">At the time the trial court decided defendant's motion, </w:t>
      </w:r>
      <w:hyperlink r:id="rId33" w:anchor="co_pp_sp_542_516">
        <w:r>
          <w:rPr>
            <w:rFonts w:ascii="Times New Roman" w:hAnsi="Times New Roman"/>
            <w:i/>
            <w:color w:val="0E568C"/>
            <w:sz w:val="20"/>
          </w:rPr>
          <w:t>Lugo v Amer</w:t>
        </w:r>
        <w:r>
          <w:rPr>
            <w:rFonts w:ascii="Times New Roman" w:hAnsi="Times New Roman"/>
            <w:i/>
            <w:color w:val="0E568C"/>
            <w:sz w:val="20"/>
          </w:rPr>
          <w:t>itech Corp, Inc</w:t>
        </w:r>
        <w:r>
          <w:rPr>
            <w:rFonts w:ascii="Times New Roman" w:hAnsi="Times New Roman"/>
            <w:color w:val="0E568C"/>
            <w:sz w:val="20"/>
          </w:rPr>
          <w:t xml:space="preserve">, 464 </w:t>
        </w:r>
        <w:proofErr w:type="spellStart"/>
        <w:r>
          <w:rPr>
            <w:rFonts w:ascii="Times New Roman" w:hAnsi="Times New Roman"/>
            <w:color w:val="0E568C"/>
            <w:sz w:val="20"/>
          </w:rPr>
          <w:t>Mich</w:t>
        </w:r>
        <w:proofErr w:type="spellEnd"/>
        <w:r>
          <w:rPr>
            <w:rFonts w:ascii="Times New Roman" w:hAnsi="Times New Roman"/>
            <w:color w:val="0E568C"/>
            <w:sz w:val="20"/>
          </w:rPr>
          <w:t xml:space="preserve"> 512, 516-517; 629 NW2d 384 (2001)</w:t>
        </w:r>
      </w:hyperlink>
      <w:r>
        <w:rPr>
          <w:rFonts w:ascii="Times New Roman" w:hAnsi="Times New Roman"/>
          <w:color w:val="000000"/>
          <w:sz w:val="20"/>
        </w:rPr>
        <w:t xml:space="preserve">, overruled in part by </w:t>
      </w:r>
      <w:proofErr w:type="spellStart"/>
      <w:r>
        <w:rPr>
          <w:rFonts w:ascii="Times New Roman" w:hAnsi="Times New Roman"/>
          <w:i/>
          <w:color w:val="000000"/>
          <w:sz w:val="20"/>
        </w:rPr>
        <w:t>Kandil-Elsayed</w:t>
      </w:r>
      <w:proofErr w:type="spellEnd"/>
      <w:r>
        <w:rPr>
          <w:rFonts w:ascii="Times New Roman" w:hAnsi="Times New Roman"/>
          <w:color w:val="000000"/>
          <w:sz w:val="20"/>
        </w:rPr>
        <w:t xml:space="preserve">, ––– </w:t>
      </w:r>
      <w:proofErr w:type="spellStart"/>
      <w:r>
        <w:rPr>
          <w:rFonts w:ascii="Times New Roman" w:hAnsi="Times New Roman"/>
          <w:color w:val="000000"/>
          <w:sz w:val="20"/>
        </w:rPr>
        <w:t>Mich</w:t>
      </w:r>
      <w:proofErr w:type="spellEnd"/>
      <w:r>
        <w:rPr>
          <w:rFonts w:ascii="Times New Roman" w:hAnsi="Times New Roman"/>
          <w:color w:val="000000"/>
          <w:sz w:val="20"/>
        </w:rPr>
        <w:t xml:space="preserve"> at ––––, and its progeny governed claims that a hazardous condition on the land was open and obvious. “A condition of the land is open and obvious wh</w:t>
      </w:r>
      <w:r>
        <w:rPr>
          <w:rFonts w:ascii="Times New Roman" w:hAnsi="Times New Roman"/>
          <w:color w:val="000000"/>
          <w:sz w:val="20"/>
        </w:rPr>
        <w:t xml:space="preserve">en it is reasonable to expect that an average person with ordinary intelligence would have discovered it upon casual inspection.” </w:t>
      </w:r>
      <w:hyperlink r:id="rId34" w:anchor="co_pp_sp_543_626">
        <w:proofErr w:type="spellStart"/>
        <w:r>
          <w:rPr>
            <w:rFonts w:ascii="Times New Roman" w:hAnsi="Times New Roman"/>
            <w:i/>
            <w:color w:val="0E568C"/>
            <w:sz w:val="20"/>
          </w:rPr>
          <w:t>Finazzo</w:t>
        </w:r>
        <w:proofErr w:type="spellEnd"/>
        <w:r>
          <w:rPr>
            <w:rFonts w:ascii="Times New Roman" w:hAnsi="Times New Roman"/>
            <w:i/>
            <w:color w:val="0E568C"/>
            <w:sz w:val="20"/>
          </w:rPr>
          <w:t xml:space="preserve"> v Fire Equip Co</w:t>
        </w:r>
        <w:r>
          <w:rPr>
            <w:rFonts w:ascii="Times New Roman" w:hAnsi="Times New Roman"/>
            <w:color w:val="0E568C"/>
            <w:sz w:val="20"/>
          </w:rPr>
          <w:t xml:space="preserve">, 323 </w:t>
        </w:r>
        <w:proofErr w:type="spellStart"/>
        <w:r>
          <w:rPr>
            <w:rFonts w:ascii="Times New Roman" w:hAnsi="Times New Roman"/>
            <w:color w:val="0E568C"/>
            <w:sz w:val="20"/>
          </w:rPr>
          <w:t>Mich</w:t>
        </w:r>
        <w:proofErr w:type="spellEnd"/>
        <w:r>
          <w:rPr>
            <w:rFonts w:ascii="Times New Roman" w:hAnsi="Times New Roman"/>
            <w:color w:val="0E568C"/>
            <w:sz w:val="20"/>
          </w:rPr>
          <w:t xml:space="preserve"> App 620, 626; 918 NW2d 200 (2018)</w:t>
        </w:r>
      </w:hyperlink>
      <w:r>
        <w:rPr>
          <w:rFonts w:ascii="Times New Roman" w:hAnsi="Times New Roman"/>
          <w:color w:val="000000"/>
          <w:sz w:val="20"/>
        </w:rPr>
        <w:t xml:space="preserve"> (quo</w:t>
      </w:r>
      <w:r>
        <w:rPr>
          <w:rFonts w:ascii="Times New Roman" w:hAnsi="Times New Roman"/>
          <w:color w:val="000000"/>
          <w:sz w:val="20"/>
        </w:rPr>
        <w:t>tation marks and citation omitted). The law at that time provided that the duty a landowner owes to an invitee does not extend to open and obvious hazards, unless “special aspects” of the condition on the land rendered the hazard “unreasonably dangerous” o</w:t>
      </w:r>
      <w:r>
        <w:rPr>
          <w:rFonts w:ascii="Times New Roman" w:hAnsi="Times New Roman"/>
          <w:color w:val="000000"/>
          <w:sz w:val="20"/>
        </w:rPr>
        <w:t xml:space="preserve">r “effectively unavoidable.” </w:t>
      </w:r>
      <w:hyperlink r:id="rId35" w:anchor="co_pp_sp_542_516">
        <w:r>
          <w:rPr>
            <w:rFonts w:ascii="Times New Roman" w:hAnsi="Times New Roman"/>
            <w:i/>
            <w:color w:val="0E568C"/>
            <w:sz w:val="20"/>
          </w:rPr>
          <w:t>Lugo</w:t>
        </w:r>
        <w:r>
          <w:rPr>
            <w:rFonts w:ascii="Times New Roman" w:hAnsi="Times New Roman"/>
            <w:color w:val="0E568C"/>
            <w:sz w:val="20"/>
          </w:rPr>
          <w:t xml:space="preserve">, 464 </w:t>
        </w:r>
        <w:proofErr w:type="spellStart"/>
        <w:r>
          <w:rPr>
            <w:rFonts w:ascii="Times New Roman" w:hAnsi="Times New Roman"/>
            <w:color w:val="0E568C"/>
            <w:sz w:val="20"/>
          </w:rPr>
          <w:t>Mich</w:t>
        </w:r>
        <w:proofErr w:type="spellEnd"/>
        <w:r>
          <w:rPr>
            <w:rFonts w:ascii="Times New Roman" w:hAnsi="Times New Roman"/>
            <w:color w:val="0E568C"/>
            <w:sz w:val="20"/>
          </w:rPr>
          <w:t xml:space="preserve"> at 516</w:t>
        </w:r>
      </w:hyperlink>
      <w:r>
        <w:rPr>
          <w:rFonts w:ascii="Times New Roman" w:hAnsi="Times New Roman"/>
          <w:color w:val="000000"/>
          <w:sz w:val="20"/>
        </w:rPr>
        <w:t xml:space="preserve">. In other words, absent special aspects, a landowner owed no duty to an invitee to remove or warn them of open and obvious hazards. See </w:t>
      </w:r>
      <w:hyperlink r:id="rId36" w:anchor="co_pp_sp_543_626">
        <w:proofErr w:type="spellStart"/>
        <w:r>
          <w:rPr>
            <w:rFonts w:ascii="Times New Roman" w:hAnsi="Times New Roman"/>
            <w:i/>
            <w:color w:val="0E568C"/>
            <w:sz w:val="20"/>
          </w:rPr>
          <w:t>Finazzo</w:t>
        </w:r>
        <w:proofErr w:type="spellEnd"/>
        <w:r>
          <w:rPr>
            <w:rFonts w:ascii="Times New Roman" w:hAnsi="Times New Roman"/>
            <w:color w:val="0E568C"/>
            <w:sz w:val="20"/>
          </w:rPr>
          <w:t xml:space="preserve">, 323 </w:t>
        </w:r>
        <w:proofErr w:type="spellStart"/>
        <w:r>
          <w:rPr>
            <w:rFonts w:ascii="Times New Roman" w:hAnsi="Times New Roman"/>
            <w:color w:val="0E568C"/>
            <w:sz w:val="20"/>
          </w:rPr>
          <w:t>Mich</w:t>
        </w:r>
        <w:proofErr w:type="spellEnd"/>
        <w:r>
          <w:rPr>
            <w:rFonts w:ascii="Times New Roman" w:hAnsi="Times New Roman"/>
            <w:color w:val="0E568C"/>
            <w:sz w:val="20"/>
          </w:rPr>
          <w:t xml:space="preserve"> App at 626</w:t>
        </w:r>
      </w:hyperlink>
      <w:r>
        <w:rPr>
          <w:rFonts w:ascii="Times New Roman" w:hAnsi="Times New Roman"/>
          <w:color w:val="000000"/>
          <w:sz w:val="20"/>
        </w:rPr>
        <w:t>.</w:t>
      </w:r>
    </w:p>
    <w:p w14:paraId="3E3382D2" w14:textId="77777777" w:rsidR="00E8663F" w:rsidRDefault="00B813AC">
      <w:pPr>
        <w:spacing w:after="0" w:line="275" w:lineRule="atLeast"/>
        <w:jc w:val="both"/>
      </w:pPr>
      <w:r>
        <w:rPr>
          <w:rFonts w:ascii="Times New Roman" w:hAnsi="Times New Roman"/>
          <w:color w:val="000000"/>
          <w:sz w:val="20"/>
        </w:rPr>
        <w:t> </w:t>
      </w:r>
    </w:p>
    <w:p w14:paraId="592E7DD1" w14:textId="77777777" w:rsidR="00E8663F" w:rsidRDefault="00B813AC">
      <w:pPr>
        <w:spacing w:after="0" w:line="275" w:lineRule="atLeast"/>
        <w:jc w:val="both"/>
      </w:pPr>
      <w:r>
        <w:rPr>
          <w:rFonts w:ascii="Times New Roman" w:hAnsi="Times New Roman"/>
          <w:color w:val="000000"/>
          <w:sz w:val="20"/>
        </w:rPr>
        <w:t xml:space="preserve">In </w:t>
      </w:r>
      <w:proofErr w:type="spellStart"/>
      <w:r>
        <w:rPr>
          <w:rFonts w:ascii="Times New Roman" w:hAnsi="Times New Roman"/>
          <w:i/>
          <w:color w:val="000000"/>
          <w:sz w:val="20"/>
        </w:rPr>
        <w:t>Kandil-Elsayed</w:t>
      </w:r>
      <w:proofErr w:type="spellEnd"/>
      <w:r>
        <w:rPr>
          <w:rFonts w:ascii="Times New Roman" w:hAnsi="Times New Roman"/>
          <w:color w:val="000000"/>
          <w:sz w:val="20"/>
        </w:rPr>
        <w:t xml:space="preserve">, issued while this matter was pending on appeal, our Supreme Court held that </w:t>
      </w:r>
      <w:r>
        <w:rPr>
          <w:rFonts w:ascii="Times New Roman" w:hAnsi="Times New Roman"/>
          <w:i/>
          <w:color w:val="000000"/>
          <w:sz w:val="20"/>
        </w:rPr>
        <w:t>Lugo</w:t>
      </w:r>
      <w:r>
        <w:rPr>
          <w:rFonts w:ascii="Times New Roman" w:hAnsi="Times New Roman"/>
          <w:color w:val="000000"/>
          <w:sz w:val="20"/>
        </w:rPr>
        <w:t xml:space="preserve"> “was wrongly decided in several respects and must be overruled.” </w:t>
      </w:r>
      <w:proofErr w:type="spellStart"/>
      <w:r>
        <w:rPr>
          <w:rFonts w:ascii="Times New Roman" w:hAnsi="Times New Roman"/>
          <w:i/>
          <w:color w:val="000000"/>
          <w:sz w:val="20"/>
        </w:rPr>
        <w:t>Kandil-Elsayed</w:t>
      </w:r>
      <w:proofErr w:type="spellEnd"/>
      <w:r>
        <w:rPr>
          <w:rFonts w:ascii="Times New Roman" w:hAnsi="Times New Roman"/>
          <w:color w:val="000000"/>
          <w:sz w:val="20"/>
        </w:rPr>
        <w:t xml:space="preserve">, ––– </w:t>
      </w:r>
      <w:proofErr w:type="spellStart"/>
      <w:r>
        <w:rPr>
          <w:rFonts w:ascii="Times New Roman" w:hAnsi="Times New Roman"/>
          <w:color w:val="000000"/>
          <w:sz w:val="20"/>
        </w:rPr>
        <w:t>Mich</w:t>
      </w:r>
      <w:proofErr w:type="spellEnd"/>
      <w:r>
        <w:rPr>
          <w:rFonts w:ascii="Times New Roman" w:hAnsi="Times New Roman"/>
          <w:color w:val="000000"/>
          <w:sz w:val="20"/>
        </w:rPr>
        <w:t xml:space="preserve"> at ––––, slip op. at 29. Specifically, the Court held that the issue of the openness and obviousness of a hazard was not to be tied to the determination of a landowner's duty to invitees or other persons on the land. </w:t>
      </w:r>
      <w:r>
        <w:rPr>
          <w:rFonts w:ascii="Times New Roman" w:hAnsi="Times New Roman"/>
          <w:i/>
          <w:color w:val="000000"/>
          <w:sz w:val="20"/>
        </w:rPr>
        <w:t>Id.</w:t>
      </w:r>
      <w:r>
        <w:rPr>
          <w:rFonts w:ascii="Times New Roman" w:hAnsi="Times New Roman"/>
          <w:color w:val="000000"/>
          <w:sz w:val="20"/>
        </w:rPr>
        <w:t xml:space="preserve"> at ––––; slip op. at 29-30. Fu</w:t>
      </w:r>
      <w:r>
        <w:rPr>
          <w:rFonts w:ascii="Times New Roman" w:hAnsi="Times New Roman"/>
          <w:color w:val="000000"/>
          <w:sz w:val="20"/>
        </w:rPr>
        <w:t xml:space="preserve">rther, the Court held that the “special aspects” exception “created confusion as to what the exceptions to the open and obvious danger doctrine would be.” </w:t>
      </w:r>
      <w:r>
        <w:rPr>
          <w:rFonts w:ascii="Times New Roman" w:hAnsi="Times New Roman"/>
          <w:i/>
          <w:color w:val="000000"/>
          <w:sz w:val="20"/>
        </w:rPr>
        <w:t>Id.</w:t>
      </w:r>
      <w:r>
        <w:rPr>
          <w:rFonts w:ascii="Times New Roman" w:hAnsi="Times New Roman"/>
          <w:color w:val="000000"/>
          <w:sz w:val="20"/>
        </w:rPr>
        <w:t xml:space="preserve"> at 36. </w:t>
      </w:r>
      <w:r w:rsidRPr="009A2F91">
        <w:rPr>
          <w:rFonts w:ascii="Times New Roman" w:hAnsi="Times New Roman"/>
          <w:color w:val="000000"/>
          <w:sz w:val="20"/>
        </w:rPr>
        <w:t>The Court then offered a new framework for premises liability cases, in which the open and</w:t>
      </w:r>
      <w:r w:rsidRPr="009A2F91">
        <w:rPr>
          <w:rFonts w:ascii="Times New Roman" w:hAnsi="Times New Roman"/>
          <w:color w:val="000000"/>
          <w:sz w:val="20"/>
        </w:rPr>
        <w:t xml:space="preserve"> obvious nature of a hazard “is relevant to the defendant's breach and the plaintiff's comparative fault.” </w:t>
      </w:r>
      <w:r w:rsidRPr="009A2F91">
        <w:rPr>
          <w:rFonts w:ascii="Times New Roman" w:hAnsi="Times New Roman"/>
          <w:i/>
          <w:color w:val="000000"/>
          <w:sz w:val="20"/>
        </w:rPr>
        <w:t>Id.</w:t>
      </w:r>
      <w:r w:rsidRPr="009A2F91">
        <w:rPr>
          <w:rFonts w:ascii="Times New Roman" w:hAnsi="Times New Roman"/>
          <w:color w:val="000000"/>
          <w:sz w:val="20"/>
        </w:rPr>
        <w:t xml:space="preserve"> at 40. Further, rather than consider whether the hazard possessed special aspects, the </w:t>
      </w:r>
      <w:proofErr w:type="gramStart"/>
      <w:r w:rsidRPr="009A2F91">
        <w:rPr>
          <w:rFonts w:ascii="Times New Roman" w:hAnsi="Times New Roman"/>
          <w:color w:val="000000"/>
          <w:sz w:val="20"/>
        </w:rPr>
        <w:t>fact-finder</w:t>
      </w:r>
      <w:proofErr w:type="gramEnd"/>
      <w:r w:rsidRPr="009A2F91">
        <w:rPr>
          <w:rFonts w:ascii="Times New Roman" w:hAnsi="Times New Roman"/>
          <w:color w:val="000000"/>
          <w:sz w:val="20"/>
        </w:rPr>
        <w:t xml:space="preserve"> should consider “whether a land possessor shou</w:t>
      </w:r>
      <w:r w:rsidRPr="009A2F91">
        <w:rPr>
          <w:rFonts w:ascii="Times New Roman" w:hAnsi="Times New Roman"/>
          <w:color w:val="000000"/>
          <w:sz w:val="20"/>
        </w:rPr>
        <w:t xml:space="preserve">ld anticipate harm from an otherwise open and obvious danger” despite its obviousness. </w:t>
      </w:r>
      <w:r w:rsidRPr="009A2F91">
        <w:rPr>
          <w:rFonts w:ascii="Times New Roman" w:hAnsi="Times New Roman"/>
          <w:i/>
          <w:color w:val="000000"/>
          <w:sz w:val="20"/>
        </w:rPr>
        <w:t>Id.</w:t>
      </w:r>
      <w:r w:rsidRPr="009A2F91">
        <w:rPr>
          <w:rFonts w:ascii="Times New Roman" w:hAnsi="Times New Roman"/>
          <w:color w:val="000000"/>
          <w:sz w:val="20"/>
        </w:rPr>
        <w:t xml:space="preserve"> at 43.</w:t>
      </w:r>
    </w:p>
    <w:p w14:paraId="679D985C" w14:textId="77777777" w:rsidR="00E8663F" w:rsidRDefault="00B813AC">
      <w:pPr>
        <w:spacing w:after="0" w:line="275" w:lineRule="atLeast"/>
        <w:jc w:val="both"/>
      </w:pPr>
      <w:r>
        <w:rPr>
          <w:rFonts w:ascii="Times New Roman" w:hAnsi="Times New Roman"/>
          <w:color w:val="000000"/>
          <w:sz w:val="20"/>
        </w:rPr>
        <w:t> </w:t>
      </w:r>
      <w:bookmarkStart w:id="12" w:name="_GoBack"/>
      <w:bookmarkEnd w:id="12"/>
    </w:p>
    <w:p w14:paraId="23EAEEAB" w14:textId="77777777" w:rsidR="00E8663F" w:rsidRDefault="00B813AC">
      <w:pPr>
        <w:spacing w:after="0" w:line="275" w:lineRule="atLeast"/>
        <w:jc w:val="both"/>
      </w:pPr>
      <w:r>
        <w:rPr>
          <w:rFonts w:ascii="Times New Roman" w:hAnsi="Times New Roman"/>
          <w:color w:val="000000"/>
          <w:sz w:val="20"/>
        </w:rPr>
        <w:t xml:space="preserve">The issue of the retroactivity of </w:t>
      </w:r>
      <w:proofErr w:type="spellStart"/>
      <w:r>
        <w:rPr>
          <w:rFonts w:ascii="Times New Roman" w:hAnsi="Times New Roman"/>
          <w:i/>
          <w:color w:val="000000"/>
          <w:sz w:val="20"/>
        </w:rPr>
        <w:t>Kandil-Elsayed</w:t>
      </w:r>
      <w:proofErr w:type="spellEnd"/>
      <w:r>
        <w:rPr>
          <w:rFonts w:ascii="Times New Roman" w:hAnsi="Times New Roman"/>
          <w:color w:val="000000"/>
          <w:sz w:val="20"/>
        </w:rPr>
        <w:t xml:space="preserve"> is currently before this Court in other cases. We need not address that issue here, however, because we con</w:t>
      </w:r>
      <w:r>
        <w:rPr>
          <w:rFonts w:ascii="Times New Roman" w:hAnsi="Times New Roman"/>
          <w:color w:val="000000"/>
          <w:sz w:val="20"/>
        </w:rPr>
        <w:t xml:space="preserve">clude that even under </w:t>
      </w:r>
      <w:r>
        <w:rPr>
          <w:rFonts w:ascii="Times New Roman" w:hAnsi="Times New Roman"/>
          <w:color w:val="000000"/>
          <w:sz w:val="20"/>
        </w:rPr>
        <w:t xml:space="preserve">the </w:t>
      </w:r>
      <w:r>
        <w:rPr>
          <w:rFonts w:ascii="Times New Roman" w:hAnsi="Times New Roman"/>
          <w:i/>
          <w:color w:val="000000"/>
          <w:sz w:val="20"/>
        </w:rPr>
        <w:t>Lugo</w:t>
      </w:r>
      <w:r>
        <w:rPr>
          <w:rFonts w:ascii="Times New Roman" w:hAnsi="Times New Roman"/>
          <w:color w:val="000000"/>
          <w:sz w:val="20"/>
        </w:rPr>
        <w:t xml:space="preserve"> standard for open and obvious hazards, the trial court erred by holding that the alleged hazard was open and obvious.</w:t>
      </w:r>
    </w:p>
    <w:p w14:paraId="06D2E985" w14:textId="77777777" w:rsidR="00E8663F" w:rsidRDefault="00B813AC">
      <w:pPr>
        <w:spacing w:after="0" w:line="275" w:lineRule="atLeast"/>
        <w:jc w:val="both"/>
      </w:pPr>
      <w:r>
        <w:rPr>
          <w:rFonts w:ascii="Times New Roman" w:hAnsi="Times New Roman"/>
          <w:color w:val="000000"/>
          <w:sz w:val="20"/>
        </w:rPr>
        <w:t> </w:t>
      </w:r>
    </w:p>
    <w:p w14:paraId="64554D29" w14:textId="77777777" w:rsidR="00E8663F" w:rsidRDefault="00B813AC">
      <w:pPr>
        <w:spacing w:after="0" w:line="275" w:lineRule="atLeast"/>
        <w:jc w:val="both"/>
      </w:pPr>
      <w:r>
        <w:rPr>
          <w:rFonts w:ascii="Times New Roman" w:hAnsi="Times New Roman"/>
          <w:color w:val="000000"/>
          <w:sz w:val="20"/>
        </w:rPr>
        <w:t>Plaintiff testified at her deposition that she entered the produce area and observed employees of defenda</w:t>
      </w:r>
      <w:r>
        <w:rPr>
          <w:rFonts w:ascii="Times New Roman" w:hAnsi="Times New Roman"/>
          <w:color w:val="000000"/>
          <w:sz w:val="20"/>
        </w:rPr>
        <w:t>nt stocking shelves and employing carts or dollies with crates on them, and that she heard “employees actively moving around.” But she also testified that, when she faced the shelf to examine the beets for sale, there was no dolly or cart directly behind h</w:t>
      </w:r>
      <w:r>
        <w:rPr>
          <w:rFonts w:ascii="Times New Roman" w:hAnsi="Times New Roman"/>
          <w:color w:val="000000"/>
          <w:sz w:val="20"/>
        </w:rPr>
        <w:t>er. She also testified that, as she turned around, her leading leg came into contact with the cart before she finished her first step—in fact, she testified that her first step resulted in her right foot being on top of the cart, which then moved because o</w:t>
      </w:r>
      <w:r>
        <w:rPr>
          <w:rFonts w:ascii="Times New Roman" w:hAnsi="Times New Roman"/>
          <w:color w:val="000000"/>
          <w:sz w:val="20"/>
        </w:rPr>
        <w:t>f its wheels, causing her fall.</w:t>
      </w:r>
    </w:p>
    <w:p w14:paraId="377E006D" w14:textId="77777777" w:rsidR="00E8663F" w:rsidRDefault="00B813AC">
      <w:pPr>
        <w:spacing w:after="0" w:line="275" w:lineRule="atLeast"/>
        <w:jc w:val="both"/>
      </w:pPr>
      <w:r>
        <w:rPr>
          <w:rFonts w:ascii="Times New Roman" w:hAnsi="Times New Roman"/>
          <w:color w:val="000000"/>
          <w:sz w:val="20"/>
        </w:rPr>
        <w:t> </w:t>
      </w:r>
    </w:p>
    <w:p w14:paraId="77E329F7" w14:textId="77777777" w:rsidR="00E8663F" w:rsidRDefault="00B813AC">
      <w:pPr>
        <w:spacing w:after="0" w:line="275" w:lineRule="atLeast"/>
        <w:jc w:val="both"/>
      </w:pPr>
      <w:bookmarkStart w:id="13" w:name="co_pp_sp_999_4_1"/>
      <w:r>
        <w:rPr>
          <w:rFonts w:ascii="Times New Roman" w:hAnsi="Times New Roman"/>
          <w:b/>
          <w:color w:val="000000"/>
          <w:sz w:val="20"/>
        </w:rPr>
        <w:t>*4</w:t>
      </w:r>
      <w:bookmarkEnd w:id="13"/>
      <w:r>
        <w:rPr>
          <w:rFonts w:ascii="Times New Roman" w:hAnsi="Times New Roman"/>
          <w:color w:val="000000"/>
          <w:sz w:val="20"/>
        </w:rPr>
        <w:t xml:space="preserve"> Taking this evidence in the light most favorable to plaintiff, as we must, </w:t>
      </w:r>
      <w:hyperlink r:id="rId37" w:anchor="co_pp_sp_542_206">
        <w:r>
          <w:rPr>
            <w:rFonts w:ascii="Times New Roman" w:hAnsi="Times New Roman"/>
            <w:i/>
            <w:color w:val="0E568C"/>
            <w:sz w:val="20"/>
          </w:rPr>
          <w:t>Joseph</w:t>
        </w:r>
        <w:r>
          <w:rPr>
            <w:rFonts w:ascii="Times New Roman" w:hAnsi="Times New Roman"/>
            <w:color w:val="0E568C"/>
            <w:sz w:val="20"/>
          </w:rPr>
          <w:t xml:space="preserve">, 491 </w:t>
        </w:r>
        <w:proofErr w:type="spellStart"/>
        <w:r>
          <w:rPr>
            <w:rFonts w:ascii="Times New Roman" w:hAnsi="Times New Roman"/>
            <w:color w:val="0E568C"/>
            <w:sz w:val="20"/>
          </w:rPr>
          <w:t>Mich</w:t>
        </w:r>
        <w:proofErr w:type="spellEnd"/>
        <w:r>
          <w:rPr>
            <w:rFonts w:ascii="Times New Roman" w:hAnsi="Times New Roman"/>
            <w:color w:val="0E568C"/>
            <w:sz w:val="20"/>
          </w:rPr>
          <w:t xml:space="preserve"> at 206</w:t>
        </w:r>
      </w:hyperlink>
      <w:r>
        <w:rPr>
          <w:rFonts w:ascii="Times New Roman" w:hAnsi="Times New Roman"/>
          <w:color w:val="000000"/>
          <w:sz w:val="20"/>
        </w:rPr>
        <w:t xml:space="preserve">, this evidence, and the reasonable inferences that may be drawn from it, </w:t>
      </w:r>
      <w:hyperlink r:id="rId38" w:anchor="co_pp_sp_543_415">
        <w:proofErr w:type="spellStart"/>
        <w:r>
          <w:rPr>
            <w:rFonts w:ascii="Times New Roman" w:hAnsi="Times New Roman"/>
            <w:i/>
            <w:color w:val="0E568C"/>
            <w:sz w:val="20"/>
          </w:rPr>
          <w:t>Dextrom</w:t>
        </w:r>
        <w:proofErr w:type="spellEnd"/>
        <w:r>
          <w:rPr>
            <w:rFonts w:ascii="Times New Roman" w:hAnsi="Times New Roman"/>
            <w:color w:val="0E568C"/>
            <w:sz w:val="20"/>
          </w:rPr>
          <w:t xml:space="preserve">, 287 </w:t>
        </w:r>
        <w:proofErr w:type="spellStart"/>
        <w:r>
          <w:rPr>
            <w:rFonts w:ascii="Times New Roman" w:hAnsi="Times New Roman"/>
            <w:color w:val="0E568C"/>
            <w:sz w:val="20"/>
          </w:rPr>
          <w:t>Mich</w:t>
        </w:r>
        <w:proofErr w:type="spellEnd"/>
        <w:r>
          <w:rPr>
            <w:rFonts w:ascii="Times New Roman" w:hAnsi="Times New Roman"/>
            <w:color w:val="0E568C"/>
            <w:sz w:val="20"/>
          </w:rPr>
          <w:t xml:space="preserve"> App at 415-416</w:t>
        </w:r>
      </w:hyperlink>
      <w:r>
        <w:rPr>
          <w:rFonts w:ascii="Times New Roman" w:hAnsi="Times New Roman"/>
          <w:color w:val="000000"/>
          <w:sz w:val="20"/>
        </w:rPr>
        <w:t>, create a genuine issue of material fact as to whether the hazard that plaintiff alleges caused</w:t>
      </w:r>
      <w:r>
        <w:rPr>
          <w:rFonts w:ascii="Times New Roman" w:hAnsi="Times New Roman"/>
          <w:color w:val="000000"/>
          <w:sz w:val="20"/>
        </w:rPr>
        <w:t xml:space="preserve"> her fall was reasonably discoverable on casual inspection. </w:t>
      </w:r>
      <w:hyperlink r:id="rId39" w:anchor="co_pp_sp_543_626">
        <w:proofErr w:type="spellStart"/>
        <w:r>
          <w:rPr>
            <w:rFonts w:ascii="Times New Roman" w:hAnsi="Times New Roman"/>
            <w:i/>
            <w:color w:val="0E568C"/>
            <w:sz w:val="20"/>
          </w:rPr>
          <w:t>Finazzo</w:t>
        </w:r>
        <w:proofErr w:type="spellEnd"/>
        <w:r>
          <w:rPr>
            <w:rFonts w:ascii="Times New Roman" w:hAnsi="Times New Roman"/>
            <w:color w:val="0E568C"/>
            <w:sz w:val="20"/>
          </w:rPr>
          <w:t xml:space="preserve">, 323 </w:t>
        </w:r>
        <w:proofErr w:type="spellStart"/>
        <w:r>
          <w:rPr>
            <w:rFonts w:ascii="Times New Roman" w:hAnsi="Times New Roman"/>
            <w:color w:val="0E568C"/>
            <w:sz w:val="20"/>
          </w:rPr>
          <w:t>Mich</w:t>
        </w:r>
        <w:proofErr w:type="spellEnd"/>
        <w:r>
          <w:rPr>
            <w:rFonts w:ascii="Times New Roman" w:hAnsi="Times New Roman"/>
            <w:color w:val="0E568C"/>
            <w:sz w:val="20"/>
          </w:rPr>
          <w:t xml:space="preserve"> App at 626</w:t>
        </w:r>
      </w:hyperlink>
      <w:r>
        <w:rPr>
          <w:rFonts w:ascii="Times New Roman" w:hAnsi="Times New Roman"/>
          <w:color w:val="000000"/>
          <w:sz w:val="20"/>
        </w:rPr>
        <w:t>. Even in an area where plaintiff had observed the use of carts and dollies, plaintiff did not act unreasonably in</w:t>
      </w:r>
      <w:r>
        <w:rPr>
          <w:rFonts w:ascii="Times New Roman" w:hAnsi="Times New Roman"/>
          <w:color w:val="000000"/>
          <w:sz w:val="20"/>
        </w:rPr>
        <w:t xml:space="preserve"> turning around and walking away from a shelf of produce she was examining, in an area that had been clear of hazards only moments before. Although defendant argues at length about the lack of “special aspects” to the cart, defendant essentially only argue</w:t>
      </w:r>
      <w:r>
        <w:rPr>
          <w:rFonts w:ascii="Times New Roman" w:hAnsi="Times New Roman"/>
          <w:color w:val="000000"/>
          <w:sz w:val="20"/>
        </w:rPr>
        <w:t xml:space="preserve">s that the cart was open and obvious because it was readily visible against the floor, rather than camouflaged or hidden somehow. But, although the test is objective, the “reasonable observer” test looks to whether “a reasonable person </w:t>
      </w:r>
      <w:r>
        <w:rPr>
          <w:rFonts w:ascii="Times New Roman" w:hAnsi="Times New Roman"/>
          <w:i/>
          <w:color w:val="000000"/>
          <w:sz w:val="20"/>
        </w:rPr>
        <w:t>in [the plaintiff's]</w:t>
      </w:r>
      <w:r>
        <w:rPr>
          <w:rFonts w:ascii="Times New Roman" w:hAnsi="Times New Roman"/>
          <w:i/>
          <w:color w:val="000000"/>
          <w:sz w:val="20"/>
        </w:rPr>
        <w:t xml:space="preserve"> position</w:t>
      </w:r>
      <w:r>
        <w:rPr>
          <w:rFonts w:ascii="Times New Roman" w:hAnsi="Times New Roman"/>
          <w:color w:val="000000"/>
          <w:sz w:val="20"/>
        </w:rPr>
        <w:t xml:space="preserve"> would have foreseen the danger.” </w:t>
      </w:r>
      <w:hyperlink r:id="rId40" w:anchor="co_pp_sp_543_713">
        <w:r>
          <w:rPr>
            <w:rFonts w:ascii="Times New Roman" w:hAnsi="Times New Roman"/>
            <w:i/>
            <w:color w:val="0E568C"/>
            <w:sz w:val="20"/>
          </w:rPr>
          <w:t>Kennedy v Great Atlantic &amp; Pacific Tea Co</w:t>
        </w:r>
        <w:r>
          <w:rPr>
            <w:rFonts w:ascii="Times New Roman" w:hAnsi="Times New Roman"/>
            <w:color w:val="0E568C"/>
            <w:sz w:val="20"/>
          </w:rPr>
          <w:t xml:space="preserve">, 274 </w:t>
        </w:r>
        <w:proofErr w:type="spellStart"/>
        <w:r>
          <w:rPr>
            <w:rFonts w:ascii="Times New Roman" w:hAnsi="Times New Roman"/>
            <w:color w:val="0E568C"/>
            <w:sz w:val="20"/>
          </w:rPr>
          <w:t>Mich</w:t>
        </w:r>
        <w:proofErr w:type="spellEnd"/>
        <w:r>
          <w:rPr>
            <w:rFonts w:ascii="Times New Roman" w:hAnsi="Times New Roman"/>
            <w:color w:val="0E568C"/>
            <w:sz w:val="20"/>
          </w:rPr>
          <w:t xml:space="preserve"> App 710, 713; 737 NW2d 179 (2007)</w:t>
        </w:r>
      </w:hyperlink>
      <w:r>
        <w:rPr>
          <w:rFonts w:ascii="Times New Roman" w:hAnsi="Times New Roman"/>
          <w:color w:val="000000"/>
          <w:sz w:val="20"/>
        </w:rPr>
        <w:t xml:space="preserve"> (emphasis added). Viewed in the light most favorable to the plaintiff, re</w:t>
      </w:r>
      <w:r>
        <w:rPr>
          <w:rFonts w:ascii="Times New Roman" w:hAnsi="Times New Roman"/>
          <w:color w:val="000000"/>
          <w:sz w:val="20"/>
        </w:rPr>
        <w:t>asonable minds could differ about whether plaintiff should have foreseen the danger. Although defendant argues that plaintiff could have avoided the danger by “watching her step,” plaintiff testified that she had observed that the area behind her was clear</w:t>
      </w:r>
      <w:r>
        <w:rPr>
          <w:rFonts w:ascii="Times New Roman" w:hAnsi="Times New Roman"/>
          <w:color w:val="000000"/>
          <w:sz w:val="20"/>
        </w:rPr>
        <w:t xml:space="preserve"> only moments before. The trial court was not permitted to judge plaintiff's credibility at the summary disposition stage. </w:t>
      </w:r>
      <w:r>
        <w:rPr>
          <w:rFonts w:ascii="Times New Roman" w:hAnsi="Times New Roman"/>
          <w:i/>
          <w:color w:val="000000"/>
          <w:sz w:val="20"/>
        </w:rPr>
        <w:t>Skinner</w:t>
      </w:r>
      <w:r>
        <w:rPr>
          <w:rFonts w:ascii="Times New Roman" w:hAnsi="Times New Roman"/>
          <w:color w:val="000000"/>
          <w:sz w:val="20"/>
        </w:rPr>
        <w:t xml:space="preserve">, 455 </w:t>
      </w:r>
      <w:proofErr w:type="spellStart"/>
      <w:r>
        <w:rPr>
          <w:rFonts w:ascii="Times New Roman" w:hAnsi="Times New Roman"/>
          <w:color w:val="000000"/>
          <w:sz w:val="20"/>
        </w:rPr>
        <w:t>Mich</w:t>
      </w:r>
      <w:proofErr w:type="spellEnd"/>
      <w:r>
        <w:rPr>
          <w:rFonts w:ascii="Times New Roman" w:hAnsi="Times New Roman"/>
          <w:color w:val="000000"/>
          <w:sz w:val="20"/>
        </w:rPr>
        <w:t xml:space="preserve"> at 161. We do </w:t>
      </w:r>
      <w:r>
        <w:rPr>
          <w:rFonts w:ascii="Times New Roman" w:hAnsi="Times New Roman"/>
          <w:color w:val="000000"/>
          <w:sz w:val="20"/>
        </w:rPr>
        <w:lastRenderedPageBreak/>
        <w:t>not believe the “reasonable observer” standard requires a person to focus their gaze constantly at th</w:t>
      </w:r>
      <w:r>
        <w:rPr>
          <w:rFonts w:ascii="Times New Roman" w:hAnsi="Times New Roman"/>
          <w:color w:val="000000"/>
          <w:sz w:val="20"/>
        </w:rPr>
        <w:t xml:space="preserve">eir feet for fear of hazards. See </w:t>
      </w:r>
      <w:hyperlink r:id="rId41" w:anchor="co_pp_sp_543_152">
        <w:r>
          <w:rPr>
            <w:rFonts w:ascii="Times New Roman" w:hAnsi="Times New Roman"/>
            <w:i/>
            <w:color w:val="0E568C"/>
            <w:sz w:val="20"/>
          </w:rPr>
          <w:t>Clark v Kmart Corp</w:t>
        </w:r>
        <w:r>
          <w:rPr>
            <w:rFonts w:ascii="Times New Roman" w:hAnsi="Times New Roman"/>
            <w:color w:val="0E568C"/>
            <w:sz w:val="20"/>
          </w:rPr>
          <w:t xml:space="preserve">, 249 </w:t>
        </w:r>
        <w:proofErr w:type="spellStart"/>
        <w:r>
          <w:rPr>
            <w:rFonts w:ascii="Times New Roman" w:hAnsi="Times New Roman"/>
            <w:color w:val="0E568C"/>
            <w:sz w:val="20"/>
          </w:rPr>
          <w:t>Mich</w:t>
        </w:r>
        <w:proofErr w:type="spellEnd"/>
        <w:r>
          <w:rPr>
            <w:rFonts w:ascii="Times New Roman" w:hAnsi="Times New Roman"/>
            <w:color w:val="0E568C"/>
            <w:sz w:val="20"/>
          </w:rPr>
          <w:t xml:space="preserve"> App 141, 152; 640 NW2d 892 (2002)</w:t>
        </w:r>
      </w:hyperlink>
      <w:r>
        <w:rPr>
          <w:rFonts w:ascii="Times New Roman" w:hAnsi="Times New Roman"/>
          <w:color w:val="000000"/>
          <w:sz w:val="20"/>
        </w:rPr>
        <w:t xml:space="preserve"> (stating that “an individual shopping in a self-service store is entitled to presume that passageways pro</w:t>
      </w:r>
      <w:r>
        <w:rPr>
          <w:rFonts w:ascii="Times New Roman" w:hAnsi="Times New Roman"/>
          <w:color w:val="000000"/>
          <w:sz w:val="20"/>
        </w:rPr>
        <w:t>vided for his use are reasonably safe, and is not under an obligation to see every defect or danger in his pathway.”).</w:t>
      </w:r>
    </w:p>
    <w:p w14:paraId="60CDD6CC" w14:textId="77777777" w:rsidR="00E8663F" w:rsidRDefault="00B813AC">
      <w:pPr>
        <w:spacing w:after="0" w:line="275" w:lineRule="atLeast"/>
        <w:jc w:val="both"/>
      </w:pPr>
      <w:r>
        <w:rPr>
          <w:rFonts w:ascii="Times New Roman" w:hAnsi="Times New Roman"/>
          <w:color w:val="000000"/>
          <w:sz w:val="20"/>
        </w:rPr>
        <w:t> </w:t>
      </w:r>
    </w:p>
    <w:p w14:paraId="53B649DE" w14:textId="77777777" w:rsidR="00E8663F" w:rsidRDefault="00B813AC">
      <w:pPr>
        <w:spacing w:after="0" w:line="275" w:lineRule="atLeast"/>
        <w:jc w:val="both"/>
      </w:pPr>
      <w:r>
        <w:rPr>
          <w:rFonts w:ascii="Times New Roman" w:hAnsi="Times New Roman"/>
          <w:color w:val="000000"/>
          <w:sz w:val="20"/>
        </w:rPr>
        <w:t xml:space="preserve">In sum, there was a genuine issue of material fact, under </w:t>
      </w:r>
      <w:r>
        <w:rPr>
          <w:rFonts w:ascii="Times New Roman" w:hAnsi="Times New Roman"/>
          <w:i/>
          <w:color w:val="000000"/>
          <w:sz w:val="20"/>
        </w:rPr>
        <w:t>Lugo</w:t>
      </w:r>
      <w:r>
        <w:rPr>
          <w:rFonts w:ascii="Times New Roman" w:hAnsi="Times New Roman"/>
          <w:color w:val="000000"/>
          <w:sz w:val="20"/>
        </w:rPr>
        <w:t xml:space="preserve"> and its progeny, concerning whether the hazard plaintiff alleges to have</w:t>
      </w:r>
      <w:r>
        <w:rPr>
          <w:rFonts w:ascii="Times New Roman" w:hAnsi="Times New Roman"/>
          <w:color w:val="000000"/>
          <w:sz w:val="20"/>
        </w:rPr>
        <w:t xml:space="preserve"> caused her fall was open and obvious. </w:t>
      </w:r>
      <w:hyperlink r:id="rId42" w:anchor="co_pp_sp_543_626">
        <w:proofErr w:type="spellStart"/>
        <w:r>
          <w:rPr>
            <w:rFonts w:ascii="Times New Roman" w:hAnsi="Times New Roman"/>
            <w:i/>
            <w:color w:val="0E568C"/>
            <w:sz w:val="20"/>
          </w:rPr>
          <w:t>Finazzo</w:t>
        </w:r>
        <w:proofErr w:type="spellEnd"/>
        <w:r>
          <w:rPr>
            <w:rFonts w:ascii="Times New Roman" w:hAnsi="Times New Roman"/>
            <w:color w:val="0E568C"/>
            <w:sz w:val="20"/>
          </w:rPr>
          <w:t xml:space="preserve">, 323 </w:t>
        </w:r>
        <w:proofErr w:type="spellStart"/>
        <w:r>
          <w:rPr>
            <w:rFonts w:ascii="Times New Roman" w:hAnsi="Times New Roman"/>
            <w:color w:val="0E568C"/>
            <w:sz w:val="20"/>
          </w:rPr>
          <w:t>Mich</w:t>
        </w:r>
        <w:proofErr w:type="spellEnd"/>
        <w:r>
          <w:rPr>
            <w:rFonts w:ascii="Times New Roman" w:hAnsi="Times New Roman"/>
            <w:color w:val="0E568C"/>
            <w:sz w:val="20"/>
          </w:rPr>
          <w:t xml:space="preserve"> App at 626</w:t>
        </w:r>
      </w:hyperlink>
      <w:r>
        <w:rPr>
          <w:rFonts w:ascii="Times New Roman" w:hAnsi="Times New Roman"/>
          <w:color w:val="000000"/>
          <w:sz w:val="20"/>
        </w:rPr>
        <w:t xml:space="preserve">. The trial court therefore erred by granting defendant's motion for summary disposition. </w:t>
      </w:r>
      <w:hyperlink r:id="rId43" w:anchor="co_pp_sp_543_740">
        <w:proofErr w:type="spellStart"/>
        <w:r>
          <w:rPr>
            <w:rFonts w:ascii="Times New Roman" w:hAnsi="Times New Roman"/>
            <w:i/>
            <w:color w:val="0E568C"/>
            <w:sz w:val="20"/>
          </w:rPr>
          <w:t>Zarzyski</w:t>
        </w:r>
        <w:proofErr w:type="spellEnd"/>
        <w:r>
          <w:rPr>
            <w:rFonts w:ascii="Times New Roman" w:hAnsi="Times New Roman"/>
            <w:color w:val="0E568C"/>
            <w:sz w:val="20"/>
          </w:rPr>
          <w:t xml:space="preserve">, 337 </w:t>
        </w:r>
        <w:proofErr w:type="spellStart"/>
        <w:r>
          <w:rPr>
            <w:rFonts w:ascii="Times New Roman" w:hAnsi="Times New Roman"/>
            <w:color w:val="0E568C"/>
            <w:sz w:val="20"/>
          </w:rPr>
          <w:t>Mich</w:t>
        </w:r>
        <w:proofErr w:type="spellEnd"/>
        <w:r>
          <w:rPr>
            <w:rFonts w:ascii="Times New Roman" w:hAnsi="Times New Roman"/>
            <w:color w:val="0E568C"/>
            <w:sz w:val="20"/>
          </w:rPr>
          <w:t xml:space="preserve"> App at 740</w:t>
        </w:r>
      </w:hyperlink>
      <w:r>
        <w:rPr>
          <w:rFonts w:ascii="Times New Roman" w:hAnsi="Times New Roman"/>
          <w:color w:val="000000"/>
          <w:sz w:val="20"/>
        </w:rPr>
        <w:t>.</w:t>
      </w:r>
    </w:p>
    <w:p w14:paraId="133CA9DC" w14:textId="77777777" w:rsidR="00E8663F" w:rsidRDefault="00B813AC">
      <w:pPr>
        <w:spacing w:after="0" w:line="275" w:lineRule="atLeast"/>
        <w:jc w:val="both"/>
      </w:pPr>
      <w:r>
        <w:rPr>
          <w:rFonts w:ascii="Times New Roman" w:hAnsi="Times New Roman"/>
          <w:color w:val="000000"/>
          <w:sz w:val="20"/>
        </w:rPr>
        <w:t> </w:t>
      </w:r>
    </w:p>
    <w:p w14:paraId="194D1918" w14:textId="77777777" w:rsidR="00E8663F" w:rsidRDefault="00B813AC">
      <w:pPr>
        <w:spacing w:after="0" w:line="275" w:lineRule="atLeast"/>
        <w:jc w:val="both"/>
      </w:pPr>
      <w:r>
        <w:rPr>
          <w:rFonts w:ascii="Times New Roman" w:hAnsi="Times New Roman"/>
          <w:color w:val="000000"/>
          <w:sz w:val="20"/>
        </w:rPr>
        <w:t>Reversed and remanded for further proceedings consistent with this opinion. We do not retain jurisdiction.</w:t>
      </w:r>
    </w:p>
    <w:p w14:paraId="3DC85BBA" w14:textId="77777777" w:rsidR="00E8663F" w:rsidRDefault="00B813AC">
      <w:pPr>
        <w:spacing w:after="0" w:line="275" w:lineRule="atLeast"/>
        <w:jc w:val="both"/>
      </w:pPr>
      <w:r>
        <w:rPr>
          <w:rFonts w:ascii="Times New Roman" w:hAnsi="Times New Roman"/>
          <w:color w:val="000000"/>
          <w:sz w:val="20"/>
        </w:rPr>
        <w:t> </w:t>
      </w:r>
    </w:p>
    <w:p w14:paraId="4A73B647" w14:textId="77777777" w:rsidR="00E8663F" w:rsidRDefault="00B813AC">
      <w:pPr>
        <w:keepNext/>
        <w:keepLines/>
        <w:spacing w:before="200" w:after="0" w:line="275" w:lineRule="atLeast"/>
        <w:jc w:val="both"/>
      </w:pPr>
      <w:bookmarkStart w:id="14" w:name="co_allCitations_1"/>
      <w:r>
        <w:rPr>
          <w:rFonts w:ascii="Times New Roman" w:hAnsi="Times New Roman"/>
          <w:b/>
          <w:color w:val="212121"/>
          <w:sz w:val="20"/>
        </w:rPr>
        <w:t>All Citations</w:t>
      </w:r>
    </w:p>
    <w:bookmarkEnd w:id="14"/>
    <w:p w14:paraId="5424951D" w14:textId="77777777" w:rsidR="00E8663F" w:rsidRDefault="00B813AC">
      <w:pPr>
        <w:spacing w:before="200" w:after="0" w:line="275" w:lineRule="atLeast"/>
        <w:jc w:val="both"/>
      </w:pPr>
      <w:r>
        <w:rPr>
          <w:rFonts w:ascii="Times New Roman" w:hAnsi="Times New Roman"/>
          <w:color w:val="000000"/>
          <w:sz w:val="20"/>
        </w:rPr>
        <w:t xml:space="preserve">Not Reported in N.W. </w:t>
      </w:r>
      <w:proofErr w:type="spellStart"/>
      <w:r>
        <w:rPr>
          <w:rFonts w:ascii="Times New Roman" w:hAnsi="Times New Roman"/>
          <w:color w:val="000000"/>
          <w:sz w:val="20"/>
        </w:rPr>
        <w:t>Rptr</w:t>
      </w:r>
      <w:proofErr w:type="spellEnd"/>
      <w:r>
        <w:rPr>
          <w:rFonts w:ascii="Times New Roman" w:hAnsi="Times New Roman"/>
          <w:color w:val="000000"/>
          <w:sz w:val="20"/>
        </w:rPr>
        <w:t>., 2023 WL 7982339</w:t>
      </w:r>
    </w:p>
    <w:p w14:paraId="1A7952C7" w14:textId="77777777" w:rsidR="00E8663F" w:rsidRDefault="00E8663F">
      <w:pPr>
        <w:sectPr w:rsidR="00E8663F">
          <w:headerReference w:type="even" r:id="rId44"/>
          <w:headerReference w:type="default" r:id="rId45"/>
          <w:footerReference w:type="even" r:id="rId46"/>
          <w:footerReference w:type="default" r:id="rId47"/>
          <w:pgSz w:w="12240" w:h="15840"/>
          <w:pgMar w:top="1800" w:right="1080" w:bottom="1080" w:left="1080" w:header="720" w:footer="720" w:gutter="0"/>
          <w:pgNumType w:start="1"/>
          <w:cols w:num="2" w:space="240"/>
        </w:sectPr>
      </w:pPr>
    </w:p>
    <w:p w14:paraId="3B695C95" w14:textId="77777777" w:rsidR="00E8663F" w:rsidRDefault="00E8663F">
      <w:pPr>
        <w:spacing w:after="0" w:line="240" w:lineRule="auto"/>
        <w:rPr>
          <w:sz w:val="24"/>
        </w:rPr>
      </w:pPr>
    </w:p>
    <w:tbl>
      <w:tblPr>
        <w:tblW w:w="0" w:type="auto"/>
        <w:tblInd w:w="24" w:type="dxa"/>
        <w:tblLayout w:type="fixed"/>
        <w:tblCellMar>
          <w:left w:w="10" w:type="dxa"/>
          <w:right w:w="10" w:type="dxa"/>
        </w:tblCellMar>
        <w:tblLook w:val="04A0" w:firstRow="1" w:lastRow="0" w:firstColumn="1" w:lastColumn="0" w:noHBand="0" w:noVBand="1"/>
      </w:tblPr>
      <w:tblGrid>
        <w:gridCol w:w="4305"/>
        <w:gridCol w:w="5745"/>
      </w:tblGrid>
      <w:tr w:rsidR="00E8663F" w14:paraId="74E6451E" w14:textId="77777777">
        <w:tblPrEx>
          <w:tblCellMar>
            <w:top w:w="0" w:type="dxa"/>
            <w:bottom w:w="0" w:type="dxa"/>
          </w:tblCellMar>
        </w:tblPrEx>
        <w:tc>
          <w:tcPr>
            <w:tcW w:w="4305" w:type="dxa"/>
            <w:tcBorders>
              <w:top w:val="single" w:sz="4" w:space="0" w:color="777777"/>
            </w:tcBorders>
            <w:tcMar>
              <w:top w:w="75" w:type="dxa"/>
              <w:left w:w="24" w:type="dxa"/>
              <w:right w:w="24" w:type="dxa"/>
            </w:tcMar>
          </w:tcPr>
          <w:p w14:paraId="5411941F" w14:textId="77777777" w:rsidR="00E8663F" w:rsidRDefault="00B813AC">
            <w:pPr>
              <w:spacing w:after="0" w:line="235" w:lineRule="atLeast"/>
            </w:pPr>
            <w:r>
              <w:rPr>
                <w:rFonts w:ascii="Times New Roman" w:hAnsi="Times New Roman"/>
                <w:b/>
                <w:color w:val="777777"/>
                <w:sz w:val="16"/>
              </w:rPr>
              <w:t>End of Document</w:t>
            </w:r>
          </w:p>
        </w:tc>
        <w:tc>
          <w:tcPr>
            <w:tcW w:w="5745" w:type="dxa"/>
            <w:tcBorders>
              <w:top w:val="single" w:sz="4" w:space="0" w:color="777777"/>
            </w:tcBorders>
            <w:tcMar>
              <w:top w:w="75" w:type="dxa"/>
              <w:left w:w="24" w:type="dxa"/>
              <w:right w:w="24" w:type="dxa"/>
            </w:tcMar>
          </w:tcPr>
          <w:p w14:paraId="416C5ADA" w14:textId="77777777" w:rsidR="00E8663F" w:rsidRDefault="00B813AC">
            <w:pPr>
              <w:spacing w:after="0" w:line="235" w:lineRule="atLeast"/>
              <w:jc w:val="right"/>
            </w:pPr>
            <w:r>
              <w:rPr>
                <w:rFonts w:ascii="Times New Roman" w:hAnsi="Times New Roman"/>
                <w:color w:val="777777"/>
                <w:sz w:val="16"/>
              </w:rPr>
              <w:t>© 2024 Thomson Reuters. No claim to original U.S. Government Works.</w:t>
            </w:r>
          </w:p>
        </w:tc>
      </w:tr>
    </w:tbl>
    <w:p w14:paraId="40F68DA1" w14:textId="77777777" w:rsidR="00000000" w:rsidRDefault="00B813AC"/>
    <w:sectPr w:rsidR="00000000">
      <w:pgSz w:w="12240" w:h="15840"/>
      <w:pgMar w:top="180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183E6" w14:textId="77777777" w:rsidR="00000000" w:rsidRDefault="00B813AC">
      <w:pPr>
        <w:spacing w:after="0" w:line="240" w:lineRule="auto"/>
      </w:pPr>
      <w:r>
        <w:separator/>
      </w:r>
    </w:p>
  </w:endnote>
  <w:endnote w:type="continuationSeparator" w:id="0">
    <w:p w14:paraId="44C63B63" w14:textId="77777777" w:rsidR="00000000" w:rsidRDefault="00B81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Layout w:type="fixed"/>
      <w:tblCellMar>
        <w:left w:w="10" w:type="dxa"/>
        <w:right w:w="10" w:type="dxa"/>
      </w:tblCellMar>
      <w:tblLook w:val="04A0" w:firstRow="1" w:lastRow="0" w:firstColumn="1" w:lastColumn="0" w:noHBand="0" w:noVBand="1"/>
    </w:tblPr>
    <w:tblGrid>
      <w:gridCol w:w="9270"/>
      <w:gridCol w:w="690"/>
    </w:tblGrid>
    <w:tr w:rsidR="00E8663F" w14:paraId="088D02DE" w14:textId="77777777">
      <w:tblPrEx>
        <w:tblCellMar>
          <w:top w:w="0" w:type="dxa"/>
          <w:bottom w:w="0" w:type="dxa"/>
        </w:tblCellMar>
      </w:tblPrEx>
      <w:tc>
        <w:tcPr>
          <w:tcW w:w="9270" w:type="dxa"/>
          <w:tcBorders>
            <w:top w:val="single" w:sz="6" w:space="0" w:color="AAAAAA"/>
          </w:tcBorders>
          <w:tcMar>
            <w:top w:w="60" w:type="dxa"/>
          </w:tcMar>
          <w:vAlign w:val="bottom"/>
        </w:tcPr>
        <w:p w14:paraId="0DB56656" w14:textId="77777777" w:rsidR="00E8663F" w:rsidRDefault="00B813AC">
          <w:pPr>
            <w:spacing w:after="0" w:line="240" w:lineRule="auto"/>
          </w:pPr>
          <w:r>
            <w:rPr>
              <w:rFonts w:ascii="Arial" w:hAnsi="Arial"/>
              <w:noProof/>
              <w:color w:val="AAAAAA"/>
              <w:sz w:val="20"/>
            </w:rPr>
            <w:drawing>
              <wp:inline distT="0" distB="0" distL="0" distR="0" wp14:anchorId="73CA5B1D" wp14:editId="35164C51">
                <wp:extent cx="742950" cy="95250"/>
                <wp:effectExtent l="0" t="0" r="0" b="0"/>
                <wp:docPr id="2" name="Picture 0" descr="Westlaw Logo"/>
                <wp:cNvGraphicFramePr/>
                <a:graphic xmlns:a="http://schemas.openxmlformats.org/drawingml/2006/main">
                  <a:graphicData uri="http://schemas.openxmlformats.org/drawingml/2006/picture">
                    <pic:pic xmlns:pic="http://schemas.openxmlformats.org/drawingml/2006/picture">
                      <pic:nvPicPr>
                        <pic:cNvPr id="2" name="Picture 0" descr="Westlaw Logo"/>
                        <pic:cNvPicPr/>
                      </pic:nvPicPr>
                      <pic:blipFill>
                        <a:blip r:embed="rId1"/>
                        <a:srcRect/>
                        <a:stretch>
                          <a:fillRect/>
                        </a:stretch>
                      </pic:blipFill>
                      <pic:spPr>
                        <a:xfrm>
                          <a:off x="0" y="0"/>
                          <a:ext cx="742950" cy="95250"/>
                        </a:xfrm>
                        <a:prstGeom prst="rect">
                          <a:avLst/>
                        </a:prstGeom>
                      </pic:spPr>
                    </pic:pic>
                  </a:graphicData>
                </a:graphic>
              </wp:inline>
            </w:drawing>
          </w:r>
          <w:r>
            <w:rPr>
              <w:rFonts w:ascii="Arial" w:hAnsi="Arial"/>
              <w:color w:val="AAAAAA"/>
              <w:sz w:val="20"/>
            </w:rPr>
            <w:t xml:space="preserve"> © 2024 Thomson Reuters. No claim to original U.S. Government Works.</w:t>
          </w:r>
        </w:p>
      </w:tc>
      <w:tc>
        <w:tcPr>
          <w:tcW w:w="690" w:type="dxa"/>
          <w:tcBorders>
            <w:top w:val="single" w:sz="6" w:space="0" w:color="AAAAAA"/>
          </w:tcBorders>
          <w:tcMar>
            <w:top w:w="60" w:type="dxa"/>
          </w:tcMar>
        </w:tcPr>
        <w:p w14:paraId="03239EBA" w14:textId="77777777" w:rsidR="00E8663F" w:rsidRDefault="00B813AC">
          <w:pPr>
            <w:spacing w:after="0" w:line="240" w:lineRule="auto"/>
            <w:jc w:val="right"/>
          </w:pPr>
          <w:r>
            <w:rPr>
              <w:rFonts w:ascii="Arial" w:hAnsi="Arial"/>
              <w:color w:val="AAAAAA"/>
              <w:sz w:val="20"/>
            </w:rPr>
            <w:pgNum/>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Layout w:type="fixed"/>
      <w:tblCellMar>
        <w:left w:w="10" w:type="dxa"/>
        <w:right w:w="10" w:type="dxa"/>
      </w:tblCellMar>
      <w:tblLook w:val="04A0" w:firstRow="1" w:lastRow="0" w:firstColumn="1" w:lastColumn="0" w:noHBand="0" w:noVBand="1"/>
    </w:tblPr>
    <w:tblGrid>
      <w:gridCol w:w="9270"/>
      <w:gridCol w:w="690"/>
    </w:tblGrid>
    <w:tr w:rsidR="00E8663F" w14:paraId="30163604" w14:textId="77777777">
      <w:tblPrEx>
        <w:tblCellMar>
          <w:top w:w="0" w:type="dxa"/>
          <w:bottom w:w="0" w:type="dxa"/>
        </w:tblCellMar>
      </w:tblPrEx>
      <w:tc>
        <w:tcPr>
          <w:tcW w:w="9270" w:type="dxa"/>
          <w:tcBorders>
            <w:top w:val="single" w:sz="6" w:space="0" w:color="AAAAAA"/>
          </w:tcBorders>
          <w:tcMar>
            <w:top w:w="60" w:type="dxa"/>
          </w:tcMar>
          <w:vAlign w:val="bottom"/>
        </w:tcPr>
        <w:p w14:paraId="1A5E39F8" w14:textId="77777777" w:rsidR="00E8663F" w:rsidRDefault="00B813AC">
          <w:pPr>
            <w:spacing w:after="0" w:line="240" w:lineRule="auto"/>
          </w:pPr>
          <w:r>
            <w:rPr>
              <w:rFonts w:ascii="Arial" w:hAnsi="Arial"/>
              <w:noProof/>
              <w:color w:val="AAAAAA"/>
              <w:sz w:val="20"/>
            </w:rPr>
            <w:drawing>
              <wp:inline distT="0" distB="0" distL="0" distR="0" wp14:anchorId="337A7EBE" wp14:editId="7D5D0527">
                <wp:extent cx="742950" cy="95250"/>
                <wp:effectExtent l="0" t="0" r="0" b="0"/>
                <wp:docPr id="1" name="Picture 0" descr="Westlaw Logo"/>
                <wp:cNvGraphicFramePr/>
                <a:graphic xmlns:a="http://schemas.openxmlformats.org/drawingml/2006/main">
                  <a:graphicData uri="http://schemas.openxmlformats.org/drawingml/2006/picture">
                    <pic:pic xmlns:pic="http://schemas.openxmlformats.org/drawingml/2006/picture">
                      <pic:nvPicPr>
                        <pic:cNvPr id="2" name="Picture 0" descr="Westlaw Logo"/>
                        <pic:cNvPicPr/>
                      </pic:nvPicPr>
                      <pic:blipFill>
                        <a:blip r:embed="rId1"/>
                        <a:srcRect/>
                        <a:stretch>
                          <a:fillRect/>
                        </a:stretch>
                      </pic:blipFill>
                      <pic:spPr>
                        <a:xfrm>
                          <a:off x="0" y="0"/>
                          <a:ext cx="742950" cy="95250"/>
                        </a:xfrm>
                        <a:prstGeom prst="rect">
                          <a:avLst/>
                        </a:prstGeom>
                      </pic:spPr>
                    </pic:pic>
                  </a:graphicData>
                </a:graphic>
              </wp:inline>
            </w:drawing>
          </w:r>
          <w:r>
            <w:rPr>
              <w:rFonts w:ascii="Arial" w:hAnsi="Arial"/>
              <w:color w:val="AAAAAA"/>
              <w:sz w:val="20"/>
            </w:rPr>
            <w:t xml:space="preserve"> © 2024 Thomson Reuters. No claim to original U.S. Government Works.</w:t>
          </w:r>
        </w:p>
      </w:tc>
      <w:tc>
        <w:tcPr>
          <w:tcW w:w="690" w:type="dxa"/>
          <w:tcBorders>
            <w:top w:val="single" w:sz="6" w:space="0" w:color="AAAAAA"/>
          </w:tcBorders>
          <w:tcMar>
            <w:top w:w="60" w:type="dxa"/>
          </w:tcMar>
        </w:tcPr>
        <w:p w14:paraId="2BE29FB9" w14:textId="77777777" w:rsidR="00E8663F" w:rsidRDefault="00B813AC">
          <w:pPr>
            <w:spacing w:after="0" w:line="240" w:lineRule="auto"/>
            <w:jc w:val="right"/>
          </w:pPr>
          <w:r>
            <w:rPr>
              <w:rFonts w:ascii="Arial" w:hAnsi="Arial"/>
              <w:color w:val="AAAAAA"/>
              <w:sz w:val="20"/>
            </w:rPr>
            <w:pgNum/>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42B89" w14:textId="77777777" w:rsidR="00000000" w:rsidRDefault="00B813AC">
      <w:pPr>
        <w:spacing w:after="0" w:line="240" w:lineRule="auto"/>
      </w:pPr>
      <w:r>
        <w:separator/>
      </w:r>
    </w:p>
  </w:footnote>
  <w:footnote w:type="continuationSeparator" w:id="0">
    <w:p w14:paraId="28B6D933" w14:textId="77777777" w:rsidR="00000000" w:rsidRDefault="00B81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Layout w:type="fixed"/>
      <w:tblCellMar>
        <w:left w:w="10" w:type="dxa"/>
        <w:right w:w="10" w:type="dxa"/>
      </w:tblCellMar>
      <w:tblLook w:val="04A0" w:firstRow="1" w:lastRow="0" w:firstColumn="1" w:lastColumn="0" w:noHBand="0" w:noVBand="1"/>
    </w:tblPr>
    <w:tblGrid>
      <w:gridCol w:w="9360"/>
      <w:gridCol w:w="705"/>
    </w:tblGrid>
    <w:tr w:rsidR="00E8663F" w14:paraId="133AF151" w14:textId="77777777">
      <w:tblPrEx>
        <w:tblCellMar>
          <w:top w:w="0" w:type="dxa"/>
          <w:bottom w:w="0" w:type="dxa"/>
        </w:tblCellMar>
      </w:tblPrEx>
      <w:tc>
        <w:tcPr>
          <w:tcW w:w="9360" w:type="dxa"/>
          <w:tcMar>
            <w:top w:w="300" w:type="dxa"/>
            <w:bottom w:w="45" w:type="dxa"/>
          </w:tcMar>
          <w:vAlign w:val="bottom"/>
        </w:tcPr>
        <w:p w14:paraId="6C149147" w14:textId="77777777" w:rsidR="00E8663F" w:rsidRDefault="00B813AC">
          <w:pPr>
            <w:spacing w:after="0" w:line="240" w:lineRule="auto"/>
            <w:jc w:val="center"/>
          </w:pPr>
          <w:r>
            <w:rPr>
              <w:rFonts w:ascii="Arial" w:hAnsi="Arial"/>
              <w:b/>
              <w:color w:val="000000"/>
              <w:sz w:val="18"/>
            </w:rPr>
            <w:t>Stump, Brandon</w:t>
          </w:r>
          <w:r>
            <w:rPr>
              <w:rFonts w:ascii="Arial" w:hAnsi="Arial"/>
              <w:color w:val="000000"/>
              <w:sz w:val="18"/>
            </w:rPr>
            <w:t xml:space="preserve"> </w:t>
          </w:r>
          <w:r>
            <w:rPr>
              <w:rFonts w:ascii="Arial" w:hAnsi="Arial"/>
              <w:b/>
              <w:color w:val="000000"/>
              <w:sz w:val="18"/>
            </w:rPr>
            <w:t>2/13/2024</w:t>
          </w:r>
        </w:p>
        <w:p w14:paraId="6C16333F" w14:textId="77777777" w:rsidR="00E8663F" w:rsidRDefault="00B813AC">
          <w:pPr>
            <w:spacing w:after="0" w:line="240" w:lineRule="auto"/>
            <w:jc w:val="center"/>
          </w:pPr>
          <w:r>
            <w:rPr>
              <w:rFonts w:ascii="Arial" w:hAnsi="Arial"/>
              <w:b/>
              <w:color w:val="000000"/>
              <w:sz w:val="18"/>
            </w:rPr>
            <w:t>For Educational Use Only</w:t>
          </w:r>
        </w:p>
      </w:tc>
      <w:tc>
        <w:tcPr>
          <w:tcW w:w="705" w:type="dxa"/>
        </w:tcPr>
        <w:p w14:paraId="2AB8EBCD" w14:textId="77777777" w:rsidR="00E8663F" w:rsidRDefault="00E8663F">
          <w:pPr>
            <w:spacing w:after="0" w:line="240" w:lineRule="auto"/>
          </w:pPr>
        </w:p>
      </w:tc>
    </w:tr>
    <w:tr w:rsidR="00E8663F" w14:paraId="67CA7229" w14:textId="77777777">
      <w:tblPrEx>
        <w:tblCellMar>
          <w:top w:w="0" w:type="dxa"/>
          <w:bottom w:w="0" w:type="dxa"/>
        </w:tblCellMar>
      </w:tblPrEx>
      <w:tc>
        <w:tcPr>
          <w:tcW w:w="9360" w:type="dxa"/>
          <w:tcBorders>
            <w:bottom w:val="single" w:sz="6" w:space="0" w:color="AAAAAA"/>
          </w:tcBorders>
          <w:tcMar>
            <w:top w:w="390" w:type="dxa"/>
            <w:bottom w:w="60" w:type="dxa"/>
          </w:tcMar>
          <w:vAlign w:val="bottom"/>
        </w:tcPr>
        <w:p w14:paraId="57485BBC" w14:textId="77777777" w:rsidR="00E8663F" w:rsidRDefault="00B813AC">
          <w:pPr>
            <w:spacing w:after="0" w:line="240" w:lineRule="auto"/>
          </w:pPr>
          <w:r>
            <w:rPr>
              <w:rFonts w:ascii="Arial" w:hAnsi="Arial"/>
              <w:b/>
              <w:color w:val="555555"/>
              <w:sz w:val="18"/>
            </w:rPr>
            <w:t xml:space="preserve">Brandon v. Kroger Co. of Michigan, Not Reported in N.W. </w:t>
          </w:r>
          <w:proofErr w:type="spellStart"/>
          <w:r>
            <w:rPr>
              <w:rFonts w:ascii="Arial" w:hAnsi="Arial"/>
              <w:b/>
              <w:color w:val="555555"/>
              <w:sz w:val="18"/>
            </w:rPr>
            <w:t>Rptr</w:t>
          </w:r>
          <w:proofErr w:type="spellEnd"/>
          <w:r>
            <w:rPr>
              <w:rFonts w:ascii="Arial" w:hAnsi="Arial"/>
              <w:b/>
              <w:color w:val="555555"/>
              <w:sz w:val="18"/>
            </w:rPr>
            <w:t>. (2023)</w:t>
          </w:r>
        </w:p>
      </w:tc>
      <w:tc>
        <w:tcPr>
          <w:tcW w:w="705" w:type="dxa"/>
          <w:tcBorders>
            <w:bottom w:val="single" w:sz="6" w:space="0" w:color="AAAAAA"/>
          </w:tcBorders>
          <w:tcMar>
            <w:top w:w="390" w:type="dxa"/>
            <w:bottom w:w="60" w:type="dxa"/>
          </w:tcMar>
        </w:tcPr>
        <w:p w14:paraId="0DF414B1" w14:textId="77777777" w:rsidR="00E8663F" w:rsidRDefault="00E8663F">
          <w:pPr>
            <w:spacing w:after="0" w:line="240" w:lineRule="auto"/>
            <w:rPr>
              <w:rFonts w:ascii="Arial" w:hAnsi="Arial"/>
              <w:color w:val="000000"/>
              <w:sz w:val="18"/>
            </w:rPr>
          </w:pPr>
        </w:p>
      </w:tc>
    </w:tr>
    <w:tr w:rsidR="00380A21" w14:paraId="0F359910" w14:textId="77777777" w:rsidTr="00380A21">
      <w:tblPrEx>
        <w:tblCellMar>
          <w:top w:w="0" w:type="dxa"/>
          <w:bottom w:w="0" w:type="dxa"/>
        </w:tblCellMar>
      </w:tblPrEx>
      <w:tc>
        <w:tcPr>
          <w:tcW w:w="10065" w:type="dxa"/>
          <w:gridSpan w:val="2"/>
        </w:tcPr>
        <w:p w14:paraId="5C8A8102" w14:textId="77777777" w:rsidR="00E8663F" w:rsidRDefault="00E8663F">
          <w:pPr>
            <w:spacing w:after="0" w:line="240" w:lineRule="auto"/>
            <w:rPr>
              <w:rFonts w:ascii="Arial" w:hAnsi="Arial"/>
              <w:color w:val="000000"/>
              <w:sz w:val="18"/>
            </w:rPr>
          </w:pPr>
        </w:p>
      </w:tc>
    </w:tr>
  </w:tbl>
  <w:p w14:paraId="163DA8F9" w14:textId="77777777" w:rsidR="00E8663F" w:rsidRDefault="00B813AC">
    <w:pPr>
      <w:spacing w:after="0" w:line="240" w:lineRule="auto"/>
    </w:pPr>
    <w:r>
      <w:rPr>
        <w:rFonts w:ascii="Arial" w:hAnsi="Arial"/>
        <w:color w:val="000000"/>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Layout w:type="fixed"/>
      <w:tblCellMar>
        <w:left w:w="10" w:type="dxa"/>
        <w:right w:w="10" w:type="dxa"/>
      </w:tblCellMar>
      <w:tblLook w:val="04A0" w:firstRow="1" w:lastRow="0" w:firstColumn="1" w:lastColumn="0" w:noHBand="0" w:noVBand="1"/>
    </w:tblPr>
    <w:tblGrid>
      <w:gridCol w:w="9360"/>
      <w:gridCol w:w="705"/>
    </w:tblGrid>
    <w:tr w:rsidR="00E8663F" w14:paraId="6C641927" w14:textId="77777777">
      <w:tblPrEx>
        <w:tblCellMar>
          <w:top w:w="0" w:type="dxa"/>
          <w:bottom w:w="0" w:type="dxa"/>
        </w:tblCellMar>
      </w:tblPrEx>
      <w:tc>
        <w:tcPr>
          <w:tcW w:w="9360" w:type="dxa"/>
          <w:tcMar>
            <w:top w:w="300" w:type="dxa"/>
            <w:bottom w:w="45" w:type="dxa"/>
          </w:tcMar>
          <w:vAlign w:val="bottom"/>
        </w:tcPr>
        <w:p w14:paraId="3B9DA8BD" w14:textId="77777777" w:rsidR="00E8663F" w:rsidRDefault="00B813AC">
          <w:pPr>
            <w:spacing w:after="0" w:line="240" w:lineRule="auto"/>
            <w:jc w:val="center"/>
          </w:pPr>
          <w:r>
            <w:rPr>
              <w:rFonts w:ascii="Arial" w:hAnsi="Arial"/>
              <w:b/>
              <w:color w:val="000000"/>
              <w:sz w:val="18"/>
            </w:rPr>
            <w:t>Stump, Brandon</w:t>
          </w:r>
          <w:r>
            <w:rPr>
              <w:rFonts w:ascii="Arial" w:hAnsi="Arial"/>
              <w:color w:val="000000"/>
              <w:sz w:val="18"/>
            </w:rPr>
            <w:t xml:space="preserve"> </w:t>
          </w:r>
          <w:r>
            <w:rPr>
              <w:rFonts w:ascii="Arial" w:hAnsi="Arial"/>
              <w:b/>
              <w:color w:val="000000"/>
              <w:sz w:val="18"/>
            </w:rPr>
            <w:t>2/13/2024</w:t>
          </w:r>
        </w:p>
        <w:p w14:paraId="2A5F34A7" w14:textId="77777777" w:rsidR="00E8663F" w:rsidRDefault="00B813AC">
          <w:pPr>
            <w:spacing w:after="0" w:line="240" w:lineRule="auto"/>
            <w:jc w:val="center"/>
          </w:pPr>
          <w:r>
            <w:rPr>
              <w:rFonts w:ascii="Arial" w:hAnsi="Arial"/>
              <w:b/>
              <w:color w:val="000000"/>
              <w:sz w:val="18"/>
            </w:rPr>
            <w:t xml:space="preserve">For </w:t>
          </w:r>
          <w:r>
            <w:rPr>
              <w:rFonts w:ascii="Arial" w:hAnsi="Arial"/>
              <w:b/>
              <w:color w:val="000000"/>
              <w:sz w:val="18"/>
            </w:rPr>
            <w:t>Educational Use Only</w:t>
          </w:r>
        </w:p>
      </w:tc>
      <w:tc>
        <w:tcPr>
          <w:tcW w:w="705" w:type="dxa"/>
        </w:tcPr>
        <w:p w14:paraId="2173A3EA" w14:textId="77777777" w:rsidR="00E8663F" w:rsidRDefault="00E8663F">
          <w:pPr>
            <w:spacing w:after="0" w:line="240" w:lineRule="auto"/>
          </w:pPr>
        </w:p>
      </w:tc>
    </w:tr>
    <w:tr w:rsidR="00E8663F" w14:paraId="41DFD50F" w14:textId="77777777">
      <w:tblPrEx>
        <w:tblCellMar>
          <w:top w:w="0" w:type="dxa"/>
          <w:bottom w:w="0" w:type="dxa"/>
        </w:tblCellMar>
      </w:tblPrEx>
      <w:tc>
        <w:tcPr>
          <w:tcW w:w="9360" w:type="dxa"/>
          <w:tcBorders>
            <w:bottom w:val="single" w:sz="6" w:space="0" w:color="AAAAAA"/>
          </w:tcBorders>
          <w:tcMar>
            <w:top w:w="390" w:type="dxa"/>
            <w:bottom w:w="60" w:type="dxa"/>
          </w:tcMar>
          <w:vAlign w:val="bottom"/>
        </w:tcPr>
        <w:p w14:paraId="5725E281" w14:textId="77777777" w:rsidR="00E8663F" w:rsidRDefault="00B813AC">
          <w:pPr>
            <w:spacing w:after="0" w:line="240" w:lineRule="auto"/>
          </w:pPr>
          <w:r>
            <w:rPr>
              <w:rFonts w:ascii="Arial" w:hAnsi="Arial"/>
              <w:b/>
              <w:color w:val="555555"/>
              <w:sz w:val="18"/>
            </w:rPr>
            <w:t xml:space="preserve">Brandon v. Kroger Co. of Michigan, Not Reported in N.W. </w:t>
          </w:r>
          <w:proofErr w:type="spellStart"/>
          <w:r>
            <w:rPr>
              <w:rFonts w:ascii="Arial" w:hAnsi="Arial"/>
              <w:b/>
              <w:color w:val="555555"/>
              <w:sz w:val="18"/>
            </w:rPr>
            <w:t>Rptr</w:t>
          </w:r>
          <w:proofErr w:type="spellEnd"/>
          <w:r>
            <w:rPr>
              <w:rFonts w:ascii="Arial" w:hAnsi="Arial"/>
              <w:b/>
              <w:color w:val="555555"/>
              <w:sz w:val="18"/>
            </w:rPr>
            <w:t>. (2023)</w:t>
          </w:r>
        </w:p>
      </w:tc>
      <w:tc>
        <w:tcPr>
          <w:tcW w:w="705" w:type="dxa"/>
          <w:tcBorders>
            <w:bottom w:val="single" w:sz="6" w:space="0" w:color="AAAAAA"/>
          </w:tcBorders>
          <w:tcMar>
            <w:top w:w="390" w:type="dxa"/>
            <w:bottom w:w="60" w:type="dxa"/>
          </w:tcMar>
        </w:tcPr>
        <w:p w14:paraId="636F5A15" w14:textId="77777777" w:rsidR="00E8663F" w:rsidRDefault="00E8663F">
          <w:pPr>
            <w:spacing w:after="0" w:line="240" w:lineRule="auto"/>
            <w:rPr>
              <w:rFonts w:ascii="Arial" w:hAnsi="Arial"/>
              <w:color w:val="000000"/>
              <w:sz w:val="18"/>
            </w:rPr>
          </w:pPr>
        </w:p>
      </w:tc>
    </w:tr>
    <w:tr w:rsidR="00380A21" w14:paraId="66B24342" w14:textId="77777777" w:rsidTr="00380A21">
      <w:tblPrEx>
        <w:tblCellMar>
          <w:top w:w="0" w:type="dxa"/>
          <w:bottom w:w="0" w:type="dxa"/>
        </w:tblCellMar>
      </w:tblPrEx>
      <w:tc>
        <w:tcPr>
          <w:tcW w:w="10065" w:type="dxa"/>
          <w:gridSpan w:val="2"/>
        </w:tcPr>
        <w:p w14:paraId="42FD7CD6" w14:textId="77777777" w:rsidR="00E8663F" w:rsidRDefault="00E8663F">
          <w:pPr>
            <w:spacing w:after="0" w:line="240" w:lineRule="auto"/>
            <w:rPr>
              <w:rFonts w:ascii="Arial" w:hAnsi="Arial"/>
              <w:color w:val="000000"/>
              <w:sz w:val="18"/>
            </w:rPr>
          </w:pPr>
        </w:p>
      </w:tc>
    </w:tr>
  </w:tbl>
  <w:p w14:paraId="5FCB15F0" w14:textId="77777777" w:rsidR="00E8663F" w:rsidRDefault="00B813AC">
    <w:pPr>
      <w:spacing w:after="0" w:line="240" w:lineRule="auto"/>
    </w:pPr>
    <w:r>
      <w:rPr>
        <w:rFonts w:ascii="Arial" w:hAnsi="Arial"/>
        <w:color w:val="000000"/>
        <w:sz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8663F"/>
    <w:rsid w:val="00380A21"/>
    <w:rsid w:val="009A2F91"/>
    <w:rsid w:val="00B813AC"/>
    <w:rsid w:val="00E8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723A"/>
  <w15:docId w15:val="{99D14EB7-73F6-4233-94DA-F47FD9B6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A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westlaw.com/Link/Document/FullText?findType=L&amp;pubNum=1005474&amp;cite=MIRRCPMCR2.116&amp;originatingDoc=I3d1ac45085a011eeb46ef9115206b52a&amp;refType=LQ&amp;originationContext=document&amp;vr=3.0&amp;rs=cblt1.0&amp;transitionType=DocumentItem&amp;contextData=(sc.Search)" TargetMode="External"/><Relationship Id="rId18" Type="http://schemas.openxmlformats.org/officeDocument/2006/relationships/hyperlink" Target="https://www.westlaw.com/Link/Document/FullText?findType=Y&amp;serNum=2021510030&amp;pubNum=0000543&amp;originatingDoc=I3d1ac45085a011eeb46ef9115206b52a&amp;refType=RP&amp;fi=co_pp_sp_543_415&amp;originationContext=document&amp;vr=3.0&amp;rs=cblt1.0&amp;transitionType=DocumentItem&amp;contextData=(sc.Search)" TargetMode="External"/><Relationship Id="rId26" Type="http://schemas.openxmlformats.org/officeDocument/2006/relationships/hyperlink" Target="https://www.westlaw.com/Link/Document/FullText?findType=Y&amp;serNum=2045609563&amp;pubNum=0000543&amp;originatingDoc=I3d1ac45085a011eeb46ef9115206b52a&amp;refType=RP&amp;fi=co_pp_sp_543_14&amp;originationContext=document&amp;vr=3.0&amp;rs=cblt1.0&amp;transitionType=DocumentItem&amp;contextData=(sc.Search)" TargetMode="External"/><Relationship Id="rId39" Type="http://schemas.openxmlformats.org/officeDocument/2006/relationships/hyperlink" Target="https://www.westlaw.com/Link/Document/FullText?findType=Y&amp;serNum=2044341694&amp;pubNum=0000543&amp;originatingDoc=I3d1ac45085a011eeb46ef9115206b52a&amp;refType=RP&amp;fi=co_pp_sp_543_626&amp;originationContext=document&amp;vr=3.0&amp;rs=cblt1.0&amp;transitionType=DocumentItem&amp;contextData=(sc.Search)" TargetMode="External"/><Relationship Id="rId21" Type="http://schemas.openxmlformats.org/officeDocument/2006/relationships/hyperlink" Target="https://www.westlaw.com/Link/Document/FullText?findType=Y&amp;serNum=2027810668&amp;pubNum=0000543&amp;originatingDoc=I3d1ac45085a011eeb46ef9115206b52a&amp;refType=RP&amp;fi=co_pp_sp_543_691&amp;originationContext=document&amp;vr=3.0&amp;rs=cblt1.0&amp;transitionType=DocumentItem&amp;contextData=(sc.Search)" TargetMode="External"/><Relationship Id="rId34" Type="http://schemas.openxmlformats.org/officeDocument/2006/relationships/hyperlink" Target="https://www.westlaw.com/Link/Document/FullText?findType=Y&amp;serNum=2044341694&amp;pubNum=0000543&amp;originatingDoc=I3d1ac45085a011eeb46ef9115206b52a&amp;refType=RP&amp;fi=co_pp_sp_543_626&amp;originationContext=document&amp;vr=3.0&amp;rs=cblt1.0&amp;transitionType=DocumentItem&amp;contextData=(sc.Search)" TargetMode="External"/><Relationship Id="rId42" Type="http://schemas.openxmlformats.org/officeDocument/2006/relationships/hyperlink" Target="https://www.westlaw.com/Link/Document/FullText?findType=Y&amp;serNum=2044341694&amp;pubNum=0000543&amp;originatingDoc=I3d1ac45085a011eeb46ef9115206b52a&amp;refType=RP&amp;fi=co_pp_sp_543_626&amp;originationContext=document&amp;vr=3.0&amp;rs=cblt1.0&amp;transitionType=DocumentItem&amp;contextData=(sc.Search)" TargetMode="External"/><Relationship Id="rId47"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westlaw.com/Link/Document/FullText?findType=L&amp;pubNum=1005474&amp;cite=MIRRCPMCR2.116&amp;originatingDoc=I3d1ac45085a011eeb46ef9115206b52a&amp;refType=LQ&amp;originationContext=document&amp;vr=3.0&amp;rs=cblt1.0&amp;transitionType=DocumentItem&amp;contextData=(sc.Search)" TargetMode="External"/><Relationship Id="rId29" Type="http://schemas.openxmlformats.org/officeDocument/2006/relationships/hyperlink" Target="https://www.westlaw.com/Link/Document/FullText?findType=Y&amp;serNum=2034958666&amp;pubNum=0000543&amp;originatingDoc=I3d1ac45085a011eeb46ef9115206b52a&amp;refType=RP&amp;fi=co_pp_sp_543_418&amp;originationContext=document&amp;vr=3.0&amp;rs=cblt1.0&amp;transitionType=DocumentItem&amp;contextData=(sc.Search)" TargetMode="External"/><Relationship Id="rId11" Type="http://schemas.openxmlformats.org/officeDocument/2006/relationships/hyperlink" Target="https://www.westlaw.com/Link/Document/FullText?findType=h&amp;pubNum=176284&amp;cite=0529894301&amp;originatingDoc=I3d1ac45085a011eeb46ef9115206b52a&amp;refType=RQ&amp;originationContext=document&amp;vr=3.0&amp;rs=cblt1.0&amp;transitionType=DocumentItem&amp;contextData=(sc.Search)" TargetMode="External"/><Relationship Id="rId24" Type="http://schemas.openxmlformats.org/officeDocument/2006/relationships/hyperlink" Target="https://www.westlaw.com/Link/Document/FullText?findType=Y&amp;serNum=2027810668&amp;pubNum=0000543&amp;originatingDoc=I3d1ac45085a011eeb46ef9115206b52a&amp;refType=RP&amp;fi=co_pp_sp_543_692&amp;originationContext=document&amp;vr=3.0&amp;rs=cblt1.0&amp;transitionType=DocumentItem&amp;contextData=(sc.Search)" TargetMode="External"/><Relationship Id="rId32" Type="http://schemas.openxmlformats.org/officeDocument/2006/relationships/hyperlink" Target="https://www.westlaw.com/Link/Document/FullText?findType=Y&amp;serNum=2000445813&amp;pubNum=0000542&amp;originatingDoc=I3d1ac45085a011eeb46ef9115206b52a&amp;refType=RP&amp;fi=co_pp_sp_542_597&amp;originationContext=document&amp;vr=3.0&amp;rs=cblt1.0&amp;transitionType=DocumentItem&amp;contextData=(sc.Search)" TargetMode="External"/><Relationship Id="rId37" Type="http://schemas.openxmlformats.org/officeDocument/2006/relationships/hyperlink" Target="https://www.westlaw.com/Link/Document/FullText?findType=Y&amp;serNum=2027698779&amp;pubNum=0000542&amp;originatingDoc=I3d1ac45085a011eeb46ef9115206b52a&amp;refType=RP&amp;fi=co_pp_sp_542_206&amp;originationContext=document&amp;vr=3.0&amp;rs=cblt1.0&amp;transitionType=DocumentItem&amp;contextData=(sc.Search)" TargetMode="External"/><Relationship Id="rId40" Type="http://schemas.openxmlformats.org/officeDocument/2006/relationships/hyperlink" Target="https://www.westlaw.com/Link/Document/FullText?findType=Y&amp;serNum=2011749471&amp;pubNum=0000543&amp;originatingDoc=I3d1ac45085a011eeb46ef9115206b52a&amp;refType=RP&amp;fi=co_pp_sp_543_713&amp;originationContext=document&amp;vr=3.0&amp;rs=cblt1.0&amp;transitionType=DocumentItem&amp;contextData=(sc.Search)"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westlaw.com/Link/Document/FullText?findType=Y&amp;serNum=2052597302&amp;pubNum=0000543&amp;originatingDoc=I3d1ac45085a011eeb46ef9115206b52a&amp;refType=RP&amp;fi=co_pp_sp_543_622&amp;originationContext=document&amp;vr=3.0&amp;rs=cblt1.0&amp;transitionType=DocumentItem&amp;contextData=(sc.Search)" TargetMode="External"/><Relationship Id="rId23" Type="http://schemas.openxmlformats.org/officeDocument/2006/relationships/hyperlink" Target="https://www.westlaw.com/Link/Document/FullText?findType=Y&amp;serNum=2027810668&amp;pubNum=0000543&amp;originatingDoc=I3d1ac45085a011eeb46ef9115206b52a&amp;refType=RP&amp;fi=co_pp_sp_543_691&amp;originationContext=document&amp;vr=3.0&amp;rs=cblt1.0&amp;transitionType=DocumentItem&amp;contextData=(sc.Search)" TargetMode="External"/><Relationship Id="rId28" Type="http://schemas.openxmlformats.org/officeDocument/2006/relationships/hyperlink" Target="https://www.westlaw.com/Link/Document/FullText?findType=Y&amp;serNum=2000370476&amp;pubNum=0000543&amp;originatingDoc=I3d1ac45085a011eeb46ef9115206b52a&amp;refType=RP&amp;fi=co_pp_sp_543_380&amp;originationContext=document&amp;vr=3.0&amp;rs=cblt1.0&amp;transitionType=DocumentItem&amp;contextData=(sc.Search)" TargetMode="External"/><Relationship Id="rId36" Type="http://schemas.openxmlformats.org/officeDocument/2006/relationships/hyperlink" Target="https://www.westlaw.com/Link/Document/FullText?findType=Y&amp;serNum=2044341694&amp;pubNum=0000543&amp;originatingDoc=I3d1ac45085a011eeb46ef9115206b52a&amp;refType=RP&amp;fi=co_pp_sp_543_626&amp;originationContext=document&amp;vr=3.0&amp;rs=cblt1.0&amp;transitionType=DocumentItem&amp;contextData=(sc.Search)" TargetMode="External"/><Relationship Id="rId49" Type="http://schemas.openxmlformats.org/officeDocument/2006/relationships/theme" Target="theme/theme1.xml"/><Relationship Id="rId10" Type="http://schemas.openxmlformats.org/officeDocument/2006/relationships/hyperlink" Target="https://www.westlaw.com/Link/Document/FullText?findType=h&amp;pubNum=176284&amp;cite=0488716299&amp;originatingDoc=I3d1ac45085a011eeb46ef9115206b52a&amp;refType=RQ&amp;originationContext=document&amp;vr=3.0&amp;rs=cblt1.0&amp;transitionType=DocumentItem&amp;contextData=(sc.Search)" TargetMode="External"/><Relationship Id="rId19" Type="http://schemas.openxmlformats.org/officeDocument/2006/relationships/hyperlink" Target="https://www.westlaw.com/Link/Document/FullText?findType=Y&amp;serNum=1994122209&amp;pubNum=0000542&amp;originatingDoc=I3d1ac45085a011eeb46ef9115206b52a&amp;refType=RP&amp;fi=co_pp_sp_542_161&amp;originationContext=document&amp;vr=3.0&amp;rs=cblt1.0&amp;transitionType=DocumentItem&amp;contextData=(sc.Search)" TargetMode="External"/><Relationship Id="rId31" Type="http://schemas.openxmlformats.org/officeDocument/2006/relationships/hyperlink" Target="https://www.westlaw.com/Link/Document/FullText?findType=Y&amp;serNum=2044341694&amp;pubNum=0000543&amp;originatingDoc=I3d1ac45085a011eeb46ef9115206b52a&amp;refType=RP&amp;fi=co_pp_sp_543_626&amp;originationContext=document&amp;vr=3.0&amp;rs=cblt1.0&amp;transitionType=DocumentItem&amp;contextData=(sc.Search)" TargetMode="External"/><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westlaw.com/Link/Document/FullText?findType=h&amp;pubNum=176284&amp;cite=0174643801&amp;originatingDoc=I3d1ac45085a011eeb46ef9115206b52a&amp;refType=RQ&amp;originationContext=document&amp;vr=3.0&amp;rs=cblt1.0&amp;transitionType=DocumentItem&amp;contextData=(sc.Search)" TargetMode="External"/><Relationship Id="rId14" Type="http://schemas.openxmlformats.org/officeDocument/2006/relationships/hyperlink" Target="https://www.westlaw.com/Link/Document/FullText?findType=Y&amp;serNum=2051199757&amp;pubNum=0000543&amp;originatingDoc=I3d1ac45085a011eeb46ef9115206b52a&amp;refType=RP&amp;fi=co_pp_sp_543_470&amp;originationContext=document&amp;vr=3.0&amp;rs=cblt1.0&amp;transitionType=DocumentItem&amp;contextData=(sc.Search)" TargetMode="External"/><Relationship Id="rId22" Type="http://schemas.openxmlformats.org/officeDocument/2006/relationships/hyperlink" Target="https://www.westlaw.com/Link/Document/FullText?findType=Y&amp;pubNum=0000542&amp;cite=___MI___&amp;originatingDoc=I3d1ac45085a011eeb46ef9115206b52a&amp;refType=RP&amp;fi=co_pp_sp_542_%e2%80%93%e2%80%93%e2%80%93&amp;originationContext=document&amp;vr=3.0&amp;rs=cblt1.0&amp;transitionType=DocumentItem&amp;contextData=(sc.Search)" TargetMode="External"/><Relationship Id="rId27" Type="http://schemas.openxmlformats.org/officeDocument/2006/relationships/hyperlink" Target="https://www.westlaw.com/Link/Document/FullText?findType=Y&amp;serNum=2027810668&amp;pubNum=0000543&amp;originatingDoc=I3d1ac45085a011eeb46ef9115206b52a&amp;refType=RP&amp;fi=co_pp_sp_543_691&amp;originationContext=document&amp;vr=3.0&amp;rs=cblt1.0&amp;transitionType=DocumentItem&amp;contextData=(sc.Search)" TargetMode="External"/><Relationship Id="rId30" Type="http://schemas.openxmlformats.org/officeDocument/2006/relationships/hyperlink" Target="https://www.westlaw.com/Link/Document/FullText?findType=Y&amp;serNum=2004700107&amp;pubNum=0000542&amp;originatingDoc=I3d1ac45085a011eeb46ef9115206b52a&amp;refType=RP&amp;fi=co_pp_sp_542_463&amp;originationContext=document&amp;vr=3.0&amp;rs=cblt1.0&amp;transitionType=DocumentItem&amp;contextData=(sc.Search)" TargetMode="External"/><Relationship Id="rId35" Type="http://schemas.openxmlformats.org/officeDocument/2006/relationships/hyperlink" Target="https://www.westlaw.com/Link/Document/FullText?findType=Y&amp;serNum=2001555875&amp;pubNum=0000542&amp;originatingDoc=I3d1ac45085a011eeb46ef9115206b52a&amp;refType=RP&amp;fi=co_pp_sp_542_516&amp;originationContext=document&amp;vr=3.0&amp;rs=cblt1.0&amp;transitionType=DocumentItem&amp;contextData=(sc.Search)" TargetMode="External"/><Relationship Id="rId43" Type="http://schemas.openxmlformats.org/officeDocument/2006/relationships/hyperlink" Target="https://www.westlaw.com/Link/Document/FullText?findType=Y&amp;serNum=2053891073&amp;pubNum=0000543&amp;originatingDoc=I3d1ac45085a011eeb46ef9115206b52a&amp;refType=RP&amp;fi=co_pp_sp_543_740&amp;originationContext=document&amp;vr=3.0&amp;rs=cblt1.0&amp;transitionType=DocumentItem&amp;contextData=(sc.Search)"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hyperlink" Target="https://www.westlaw.com/Link/Document/FullText?findType=Y&amp;serNum=2053891073&amp;pubNum=0000543&amp;originatingDoc=I3d1ac45085a011eeb46ef9115206b52a&amp;refType=RP&amp;fi=co_pp_sp_543_740&amp;originationContext=document&amp;vr=3.0&amp;rs=cblt1.0&amp;transitionType=DocumentItem&amp;contextData=(sc.Search)" TargetMode="External"/><Relationship Id="rId17" Type="http://schemas.openxmlformats.org/officeDocument/2006/relationships/hyperlink" Target="https://www.westlaw.com/Link/Document/FullText?findType=Y&amp;serNum=2027698779&amp;pubNum=0000542&amp;originatingDoc=I3d1ac45085a011eeb46ef9115206b52a&amp;refType=RP&amp;fi=co_pp_sp_542_206&amp;originationContext=document&amp;vr=3.0&amp;rs=cblt1.0&amp;transitionType=DocumentItem&amp;contextData=(sc.Search)" TargetMode="External"/><Relationship Id="rId25" Type="http://schemas.openxmlformats.org/officeDocument/2006/relationships/hyperlink" Target="https://www.westlaw.com/Link/Document/FullText?findType=Y&amp;serNum=2001426381&amp;pubNum=0000542&amp;originatingDoc=I3d1ac45085a011eeb46ef9115206b52a&amp;refType=RP&amp;fi=co_pp_sp_542_18&amp;originationContext=document&amp;vr=3.0&amp;rs=cblt1.0&amp;transitionType=DocumentItem&amp;contextData=(sc.Search)" TargetMode="External"/><Relationship Id="rId33" Type="http://schemas.openxmlformats.org/officeDocument/2006/relationships/hyperlink" Target="https://www.westlaw.com/Link/Document/FullText?findType=Y&amp;serNum=2001555875&amp;pubNum=0000542&amp;originatingDoc=I3d1ac45085a011eeb46ef9115206b52a&amp;refType=RP&amp;fi=co_pp_sp_542_516&amp;originationContext=document&amp;vr=3.0&amp;rs=cblt1.0&amp;transitionType=DocumentItem&amp;contextData=(sc.Search)" TargetMode="External"/><Relationship Id="rId38" Type="http://schemas.openxmlformats.org/officeDocument/2006/relationships/hyperlink" Target="https://www.westlaw.com/Link/Document/FullText?findType=Y&amp;serNum=2021510030&amp;pubNum=0000543&amp;originatingDoc=I3d1ac45085a011eeb46ef9115206b52a&amp;refType=RP&amp;fi=co_pp_sp_543_415&amp;originationContext=document&amp;vr=3.0&amp;rs=cblt1.0&amp;transitionType=DocumentItem&amp;contextData=(sc.Search)" TargetMode="External"/><Relationship Id="rId46" Type="http://schemas.openxmlformats.org/officeDocument/2006/relationships/footer" Target="footer1.xml"/><Relationship Id="rId20" Type="http://schemas.openxmlformats.org/officeDocument/2006/relationships/hyperlink" Target="https://www.westlaw.com/Link/Document/FullText?findType=Y&amp;serNum=2000370476&amp;pubNum=0000543&amp;originatingDoc=I3d1ac45085a011eeb46ef9115206b52a&amp;refType=RP&amp;fi=co_pp_sp_543_380&amp;originationContext=document&amp;vr=3.0&amp;rs=cblt1.0&amp;transitionType=DocumentItem&amp;contextData=(sc.Search)" TargetMode="External"/><Relationship Id="rId41" Type="http://schemas.openxmlformats.org/officeDocument/2006/relationships/hyperlink" Target="https://www.westlaw.com/Link/Document/FullText?findType=Y&amp;serNum=2002048972&amp;pubNum=0000543&amp;originatingDoc=I3d1ac45085a011eeb46ef9115206b52a&amp;refType=RP&amp;fi=co_pp_sp_543_152&amp;originationContext=document&amp;vr=3.0&amp;rs=cblt1.0&amp;transitionType=DocumentItem&amp;contextData=(sc.Search)"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1BD7EDE344AF4AB2ABA91E2B63262F" ma:contentTypeVersion="17" ma:contentTypeDescription="Create a new document." ma:contentTypeScope="" ma:versionID="2c318d720b6acc8b930b77425404487c">
  <xsd:schema xmlns:xsd="http://www.w3.org/2001/XMLSchema" xmlns:xs="http://www.w3.org/2001/XMLSchema" xmlns:p="http://schemas.microsoft.com/office/2006/metadata/properties" xmlns:ns3="04c5ca7a-a5c9-48ef-961d-fab986c5cc46" xmlns:ns4="6f561f2e-b660-40b0-ba51-6d975c4c5a0d" targetNamespace="http://schemas.microsoft.com/office/2006/metadata/properties" ma:root="true" ma:fieldsID="92b84dc6731edab2ea6a8f8473dd814f" ns3:_="" ns4:_="">
    <xsd:import namespace="04c5ca7a-a5c9-48ef-961d-fab986c5cc46"/>
    <xsd:import namespace="6f561f2e-b660-40b0-ba51-6d975c4c5a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5ca7a-a5c9-48ef-961d-fab986c5cc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61f2e-b660-40b0-ba51-6d975c4c5a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f561f2e-b660-40b0-ba51-6d975c4c5a0d" xsi:nil="true"/>
  </documentManagement>
</p:properties>
</file>

<file path=customXml/itemProps1.xml><?xml version="1.0" encoding="utf-8"?>
<ds:datastoreItem xmlns:ds="http://schemas.openxmlformats.org/officeDocument/2006/customXml" ds:itemID="{534CA9B0-D5AD-4B58-882D-2E6224902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5ca7a-a5c9-48ef-961d-fab986c5cc46"/>
    <ds:schemaRef ds:uri="6f561f2e-b660-40b0-ba51-6d975c4c5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97CDB1-A383-4C5F-9796-0D745774C997}">
  <ds:schemaRefs>
    <ds:schemaRef ds:uri="http://schemas.microsoft.com/sharepoint/v3/contenttype/forms"/>
  </ds:schemaRefs>
</ds:datastoreItem>
</file>

<file path=customXml/itemProps3.xml><?xml version="1.0" encoding="utf-8"?>
<ds:datastoreItem xmlns:ds="http://schemas.openxmlformats.org/officeDocument/2006/customXml" ds:itemID="{EDDEE34A-91D6-4109-B6EF-CF4CF05FA7D4}">
  <ds:schemaRefs>
    <ds:schemaRef ds:uri="http://schemas.microsoft.com/office/2006/metadata/properties"/>
    <ds:schemaRef ds:uri="http://schemas.microsoft.com/office/infopath/2007/PartnerControls"/>
    <ds:schemaRef ds:uri="6f561f2e-b660-40b0-ba51-6d975c4c5a0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3580</Words>
  <Characters>20411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23944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Brandon  Stump</cp:lastModifiedBy>
  <cp:revision>2</cp:revision>
  <dcterms:created xsi:type="dcterms:W3CDTF">2024-02-21T13:38:00Z</dcterms:created>
  <dcterms:modified xsi:type="dcterms:W3CDTF">2024-02-21T13:38:00Z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0x010100331BD7EDE344AF4AB2ABA91E2B63262F</vt:lpwstr>
  </property>
</Properties>
</file>