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77DDF" w14:textId="77777777" w:rsidR="006F7663" w:rsidRDefault="006F7663">
      <w:pPr>
        <w:pBdr>
          <w:top w:val="none" w:sz="0" w:space="4" w:color="auto"/>
        </w:pBdr>
        <w:spacing w:after="0" w:line="275" w:lineRule="atLeast"/>
        <w:jc w:val="both"/>
      </w:pPr>
      <w:bookmarkStart w:id="0" w:name="I415ca8b0bc9311eea8dcb6d69762ebf2_Targe"/>
      <w:bookmarkStart w:id="1" w:name="co_document_1"/>
      <w:bookmarkEnd w:id="0"/>
    </w:p>
    <w:bookmarkEnd w:id="1"/>
    <w:p w14:paraId="4BF49B45" w14:textId="77777777" w:rsidR="006F7663" w:rsidRDefault="007A743B">
      <w:pPr>
        <w:spacing w:after="0" w:line="275" w:lineRule="atLeast"/>
        <w:jc w:val="center"/>
      </w:pPr>
      <w:r>
        <w:rPr>
          <w:rFonts w:ascii="Georgia" w:hAnsi="Georgia"/>
          <w:color w:val="000000"/>
          <w:sz w:val="20"/>
        </w:rPr>
        <w:t>2024 WL 298956</w:t>
      </w:r>
    </w:p>
    <w:p w14:paraId="01F575F2" w14:textId="77777777" w:rsidR="006F7663" w:rsidRDefault="007A743B">
      <w:pPr>
        <w:spacing w:after="0" w:line="275" w:lineRule="atLeast"/>
        <w:jc w:val="center"/>
      </w:pPr>
      <w:r>
        <w:rPr>
          <w:rFonts w:ascii="Georgia" w:hAnsi="Georgia"/>
          <w:color w:val="000000"/>
          <w:sz w:val="20"/>
        </w:rPr>
        <w:t>Only the Westlaw citation is currently available.</w:t>
      </w:r>
    </w:p>
    <w:p w14:paraId="40BA6A27" w14:textId="77777777" w:rsidR="006F7663" w:rsidRDefault="007A743B">
      <w:pPr>
        <w:spacing w:before="200" w:after="0" w:line="275" w:lineRule="atLeast"/>
        <w:jc w:val="center"/>
      </w:pPr>
      <w:r>
        <w:rPr>
          <w:rFonts w:ascii="Georgia" w:hAnsi="Georgia"/>
          <w:color w:val="000000"/>
          <w:sz w:val="20"/>
        </w:rPr>
        <w:t>UNPUBLISHED OPINION. CHECK COURT RULES BEFORE CITING.</w:t>
      </w:r>
    </w:p>
    <w:p w14:paraId="4A873E93" w14:textId="77777777" w:rsidR="006F7663" w:rsidRDefault="007A743B">
      <w:pPr>
        <w:spacing w:before="200" w:after="0" w:line="275" w:lineRule="atLeast"/>
        <w:jc w:val="center"/>
      </w:pPr>
      <w:r>
        <w:rPr>
          <w:rFonts w:ascii="Georgia" w:hAnsi="Georgia"/>
          <w:color w:val="000000"/>
          <w:sz w:val="20"/>
        </w:rPr>
        <w:t>UNPUBLISHED</w:t>
      </w:r>
    </w:p>
    <w:p w14:paraId="4178672B" w14:textId="77777777" w:rsidR="006F7663" w:rsidRDefault="007A743B">
      <w:pPr>
        <w:spacing w:after="0" w:line="275" w:lineRule="atLeast"/>
        <w:jc w:val="center"/>
      </w:pPr>
      <w:r>
        <w:rPr>
          <w:rFonts w:ascii="Georgia" w:hAnsi="Georgia"/>
          <w:color w:val="000000"/>
          <w:sz w:val="20"/>
        </w:rPr>
        <w:t>Court of Appeals of Michigan.</w:t>
      </w:r>
    </w:p>
    <w:p w14:paraId="431AA753" w14:textId="77777777" w:rsidR="006F7663" w:rsidRDefault="007A743B">
      <w:pPr>
        <w:spacing w:before="200" w:after="0" w:line="300" w:lineRule="atLeast"/>
        <w:ind w:left="100" w:right="100"/>
        <w:jc w:val="center"/>
      </w:pPr>
      <w:r>
        <w:rPr>
          <w:rFonts w:ascii="Georgia" w:hAnsi="Georgia"/>
          <w:color w:val="252525"/>
          <w:sz w:val="20"/>
        </w:rPr>
        <w:t>Betsy JIMENEZ, Plaintiff-Appellee,</w:t>
      </w:r>
    </w:p>
    <w:p w14:paraId="7091F8A9" w14:textId="77777777" w:rsidR="006F7663" w:rsidRDefault="007A743B">
      <w:pPr>
        <w:spacing w:after="0" w:line="300" w:lineRule="atLeast"/>
        <w:ind w:left="100" w:right="100"/>
        <w:jc w:val="center"/>
      </w:pPr>
      <w:r>
        <w:rPr>
          <w:rFonts w:ascii="Georgia" w:hAnsi="Georgia"/>
          <w:color w:val="252525"/>
          <w:sz w:val="20"/>
        </w:rPr>
        <w:t>v.</w:t>
      </w:r>
    </w:p>
    <w:p w14:paraId="2AFD5F9C" w14:textId="77777777" w:rsidR="006F7663" w:rsidRDefault="007A743B">
      <w:pPr>
        <w:spacing w:after="0" w:line="300" w:lineRule="atLeast"/>
        <w:ind w:left="100" w:right="100"/>
        <w:jc w:val="center"/>
      </w:pPr>
      <w:r>
        <w:rPr>
          <w:rFonts w:ascii="Georgia" w:hAnsi="Georgia"/>
          <w:color w:val="252525"/>
          <w:sz w:val="20"/>
        </w:rPr>
        <w:t xml:space="preserve">CITY OF LINCOLN PARK, </w:t>
      </w:r>
      <w:r>
        <w:rPr>
          <w:rFonts w:ascii="Georgia" w:hAnsi="Georgia"/>
          <w:color w:val="252525"/>
          <w:sz w:val="20"/>
        </w:rPr>
        <w:t>Defendant-Appellant.</w:t>
      </w:r>
    </w:p>
    <w:p w14:paraId="5549B305" w14:textId="77777777" w:rsidR="006F7663" w:rsidRDefault="007A743B">
      <w:pPr>
        <w:pBdr>
          <w:left w:val="none" w:sz="0" w:space="8" w:color="auto"/>
        </w:pBdr>
        <w:spacing w:before="200" w:after="0" w:line="275" w:lineRule="atLeast"/>
        <w:ind w:left="150"/>
        <w:jc w:val="center"/>
      </w:pPr>
      <w:r>
        <w:rPr>
          <w:rFonts w:ascii="Georgia" w:hAnsi="Georgia"/>
          <w:color w:val="000000"/>
          <w:sz w:val="20"/>
        </w:rPr>
        <w:t>No. 364713</w:t>
      </w:r>
    </w:p>
    <w:p w14:paraId="0765AE5F" w14:textId="77777777" w:rsidR="006F7663" w:rsidRDefault="007A743B">
      <w:pPr>
        <w:pBdr>
          <w:left w:val="none" w:sz="0" w:space="8" w:color="auto"/>
        </w:pBdr>
        <w:spacing w:after="0" w:line="275" w:lineRule="atLeast"/>
        <w:ind w:left="150"/>
        <w:jc w:val="center"/>
      </w:pPr>
      <w:r>
        <w:rPr>
          <w:rFonts w:ascii="Georgia" w:hAnsi="Georgia"/>
          <w:color w:val="000000"/>
          <w:sz w:val="20"/>
        </w:rPr>
        <w:t>|</w:t>
      </w:r>
    </w:p>
    <w:p w14:paraId="62DF2709" w14:textId="77777777" w:rsidR="006F7663" w:rsidRDefault="007A743B">
      <w:pPr>
        <w:pBdr>
          <w:left w:val="none" w:sz="0" w:space="8" w:color="auto"/>
        </w:pBdr>
        <w:spacing w:after="0" w:line="275" w:lineRule="atLeast"/>
        <w:ind w:left="150"/>
        <w:jc w:val="center"/>
      </w:pPr>
      <w:r>
        <w:rPr>
          <w:rFonts w:ascii="Georgia" w:hAnsi="Georgia"/>
          <w:color w:val="000000"/>
          <w:sz w:val="20"/>
        </w:rPr>
        <w:t>January 25, 2024</w:t>
      </w:r>
    </w:p>
    <w:p w14:paraId="25E96AC6" w14:textId="77777777" w:rsidR="006F7663" w:rsidRDefault="007A743B">
      <w:pPr>
        <w:spacing w:before="400" w:after="0" w:line="275" w:lineRule="atLeast"/>
        <w:jc w:val="both"/>
      </w:pPr>
      <w:r>
        <w:rPr>
          <w:rFonts w:ascii="Times New Roman" w:hAnsi="Times New Roman"/>
          <w:color w:val="000000"/>
          <w:sz w:val="20"/>
        </w:rPr>
        <w:t>Wayne Circuit Court, LC No. 21-004140-NO</w:t>
      </w:r>
    </w:p>
    <w:p w14:paraId="06B1F3FE" w14:textId="77777777" w:rsidR="006F7663" w:rsidRDefault="007A743B">
      <w:pPr>
        <w:spacing w:after="0" w:line="275" w:lineRule="atLeast"/>
        <w:jc w:val="both"/>
      </w:pPr>
      <w:r>
        <w:rPr>
          <w:rFonts w:ascii="Times New Roman" w:hAnsi="Times New Roman"/>
          <w:color w:val="000000"/>
          <w:sz w:val="20"/>
        </w:rPr>
        <w:t xml:space="preserve">Before: </w:t>
      </w:r>
      <w:hyperlink r:id="rId9">
        <w:r>
          <w:rPr>
            <w:rFonts w:ascii="Times New Roman" w:hAnsi="Times New Roman"/>
            <w:color w:val="0E568C"/>
            <w:sz w:val="20"/>
          </w:rPr>
          <w:t>Cavanagh</w:t>
        </w:r>
      </w:hyperlink>
      <w:r>
        <w:rPr>
          <w:rFonts w:ascii="Times New Roman" w:hAnsi="Times New Roman"/>
          <w:color w:val="000000"/>
          <w:sz w:val="20"/>
        </w:rPr>
        <w:t xml:space="preserve">, P.J., and </w:t>
      </w:r>
      <w:hyperlink r:id="rId10">
        <w:r>
          <w:rPr>
            <w:rFonts w:ascii="Times New Roman" w:hAnsi="Times New Roman"/>
            <w:color w:val="0E568C"/>
            <w:sz w:val="20"/>
          </w:rPr>
          <w:t>Rick</w:t>
        </w:r>
      </w:hyperlink>
      <w:r>
        <w:rPr>
          <w:rFonts w:ascii="Times New Roman" w:hAnsi="Times New Roman"/>
          <w:color w:val="000000"/>
          <w:sz w:val="20"/>
        </w:rPr>
        <w:t xml:space="preserve"> and </w:t>
      </w:r>
      <w:hyperlink r:id="rId11">
        <w:r>
          <w:rPr>
            <w:rFonts w:ascii="Times New Roman" w:hAnsi="Times New Roman"/>
            <w:color w:val="0E568C"/>
            <w:sz w:val="20"/>
          </w:rPr>
          <w:t>Patel</w:t>
        </w:r>
      </w:hyperlink>
      <w:r>
        <w:rPr>
          <w:rFonts w:ascii="Times New Roman" w:hAnsi="Times New Roman"/>
          <w:color w:val="000000"/>
          <w:sz w:val="20"/>
        </w:rPr>
        <w:t>, JJ.</w:t>
      </w:r>
    </w:p>
    <w:p w14:paraId="73EA0461" w14:textId="77777777" w:rsidR="006F7663" w:rsidRDefault="007A743B">
      <w:pPr>
        <w:keepNext/>
        <w:keepLines/>
        <w:spacing w:before="200" w:after="0" w:line="275" w:lineRule="atLeast"/>
        <w:jc w:val="both"/>
      </w:pPr>
      <w:bookmarkStart w:id="2" w:name="co_opinion_1"/>
      <w:r>
        <w:rPr>
          <w:rFonts w:ascii="Times New Roman" w:hAnsi="Times New Roman"/>
          <w:b/>
          <w:color w:val="212121"/>
          <w:sz w:val="20"/>
        </w:rPr>
        <w:t>Opinion</w:t>
      </w:r>
    </w:p>
    <w:p w14:paraId="73B6E469" w14:textId="77777777" w:rsidR="006F7663" w:rsidRDefault="007A743B">
      <w:pPr>
        <w:spacing w:before="200" w:after="0" w:line="275" w:lineRule="atLeast"/>
        <w:jc w:val="both"/>
      </w:pPr>
      <w:bookmarkStart w:id="3" w:name="co_anchor_I48bed832c41811ee8e6fc8980681"/>
      <w:bookmarkEnd w:id="2"/>
      <w:r>
        <w:rPr>
          <w:rFonts w:ascii="Times New Roman" w:hAnsi="Times New Roman"/>
          <w:color w:val="000000"/>
          <w:sz w:val="20"/>
        </w:rPr>
        <w:t xml:space="preserve">Per </w:t>
      </w:r>
      <w:proofErr w:type="spellStart"/>
      <w:r>
        <w:rPr>
          <w:rFonts w:ascii="Times New Roman" w:hAnsi="Times New Roman"/>
          <w:color w:val="000000"/>
          <w:sz w:val="20"/>
        </w:rPr>
        <w:t>Curiam</w:t>
      </w:r>
      <w:proofErr w:type="spellEnd"/>
      <w:r>
        <w:rPr>
          <w:rFonts w:ascii="Times New Roman" w:hAnsi="Times New Roman"/>
          <w:color w:val="000000"/>
          <w:sz w:val="20"/>
        </w:rPr>
        <w:t>.</w:t>
      </w:r>
    </w:p>
    <w:p w14:paraId="4A6594FE" w14:textId="77777777" w:rsidR="006F7663" w:rsidRDefault="007A743B">
      <w:pPr>
        <w:spacing w:before="200" w:after="0" w:line="275" w:lineRule="atLeast"/>
        <w:jc w:val="both"/>
      </w:pPr>
      <w:bookmarkStart w:id="4" w:name="co_pp_sp_999_1_1"/>
      <w:bookmarkStart w:id="5" w:name="co_anchor_I48c6a062c41811ee8e6fc8980681"/>
      <w:bookmarkEnd w:id="3"/>
      <w:r>
        <w:rPr>
          <w:rFonts w:ascii="Times New Roman" w:hAnsi="Times New Roman"/>
          <w:b/>
          <w:color w:val="000000"/>
          <w:sz w:val="20"/>
        </w:rPr>
        <w:t>*1</w:t>
      </w:r>
      <w:bookmarkEnd w:id="4"/>
      <w:r>
        <w:rPr>
          <w:rFonts w:ascii="Times New Roman" w:hAnsi="Times New Roman"/>
          <w:color w:val="000000"/>
          <w:sz w:val="20"/>
        </w:rPr>
        <w:t xml:space="preserve"> In this action for damages caused by an allegedly defective sidewalk, Defendant, City of Lincoln Park (the city), appeals as of right the trial court's order denying</w:t>
      </w:r>
      <w:r>
        <w:rPr>
          <w:rFonts w:ascii="Times New Roman" w:hAnsi="Times New Roman"/>
          <w:color w:val="000000"/>
          <w:sz w:val="20"/>
        </w:rPr>
        <w:t xml:space="preserve"> its motion for summary disposition under </w:t>
      </w:r>
      <w:hyperlink r:id="rId12">
        <w:r>
          <w:rPr>
            <w:rFonts w:ascii="Times New Roman" w:hAnsi="Times New Roman"/>
            <w:color w:val="0E568C"/>
            <w:sz w:val="20"/>
          </w:rPr>
          <w:t>MCR 2.116(C)(7), (8) and (10)</w:t>
        </w:r>
      </w:hyperlink>
      <w:r>
        <w:rPr>
          <w:rFonts w:ascii="Times New Roman" w:hAnsi="Times New Roman"/>
          <w:color w:val="000000"/>
          <w:sz w:val="20"/>
        </w:rPr>
        <w:t>. The trial court denied defendant's motion because it found that there were special aspects that made the uneven sidewalk unusual and the risk of harm unreasonable and t</w:t>
      </w:r>
      <w:r>
        <w:rPr>
          <w:rFonts w:ascii="Times New Roman" w:hAnsi="Times New Roman"/>
          <w:color w:val="000000"/>
          <w:sz w:val="20"/>
        </w:rPr>
        <w:t>hus it concluded that “the open and obvious danger doctrine does not apply.” The court further held that there was a question of fact whether defendant had constructive notice of the uneven sidewalk.</w:t>
      </w:r>
    </w:p>
    <w:bookmarkEnd w:id="5"/>
    <w:p w14:paraId="3611B010" w14:textId="77777777" w:rsidR="006F7663" w:rsidRDefault="007A743B">
      <w:pPr>
        <w:spacing w:after="0" w:line="275" w:lineRule="atLeast"/>
        <w:jc w:val="both"/>
      </w:pPr>
      <w:r>
        <w:rPr>
          <w:rFonts w:ascii="Times New Roman" w:hAnsi="Times New Roman"/>
          <w:color w:val="000000"/>
          <w:sz w:val="20"/>
        </w:rPr>
        <w:t> </w:t>
      </w:r>
    </w:p>
    <w:p w14:paraId="5F9C1CD8" w14:textId="77777777" w:rsidR="006F7663" w:rsidRDefault="007A743B">
      <w:pPr>
        <w:spacing w:after="0" w:line="275" w:lineRule="atLeast"/>
        <w:jc w:val="both"/>
      </w:pPr>
      <w:r>
        <w:rPr>
          <w:rFonts w:ascii="Times New Roman" w:hAnsi="Times New Roman"/>
          <w:color w:val="000000"/>
          <w:sz w:val="20"/>
        </w:rPr>
        <w:t>After the trial court denied defendant's motion, our S</w:t>
      </w:r>
      <w:r>
        <w:rPr>
          <w:rFonts w:ascii="Times New Roman" w:hAnsi="Times New Roman"/>
          <w:color w:val="000000"/>
          <w:sz w:val="20"/>
        </w:rPr>
        <w:t xml:space="preserve">upreme Court issued </w:t>
      </w:r>
      <w:proofErr w:type="spellStart"/>
      <w:r>
        <w:rPr>
          <w:rFonts w:ascii="Times New Roman" w:hAnsi="Times New Roman"/>
          <w:i/>
          <w:color w:val="000000"/>
          <w:sz w:val="20"/>
        </w:rPr>
        <w:t>Kandil-Elsayed</w:t>
      </w:r>
      <w:proofErr w:type="spellEnd"/>
      <w:r>
        <w:rPr>
          <w:rFonts w:ascii="Times New Roman" w:hAnsi="Times New Roman"/>
          <w:i/>
          <w:color w:val="000000"/>
          <w:sz w:val="20"/>
        </w:rPr>
        <w:t xml:space="preserve"> v F &amp; E Oil, Inc</w:t>
      </w:r>
      <w:r>
        <w:rPr>
          <w:rFonts w:ascii="Times New Roman" w:hAnsi="Times New Roman"/>
          <w:color w:val="000000"/>
          <w:sz w:val="20"/>
        </w:rPr>
        <w:t xml:space="preserve">, ––– </w:t>
      </w:r>
      <w:proofErr w:type="spellStart"/>
      <w:r>
        <w:rPr>
          <w:rFonts w:ascii="Times New Roman" w:hAnsi="Times New Roman"/>
          <w:color w:val="000000"/>
          <w:sz w:val="20"/>
        </w:rPr>
        <w:t>Mich</w:t>
      </w:r>
      <w:proofErr w:type="spellEnd"/>
      <w:r>
        <w:rPr>
          <w:rFonts w:ascii="Times New Roman" w:hAnsi="Times New Roman"/>
          <w:color w:val="000000"/>
          <w:sz w:val="20"/>
        </w:rPr>
        <w:t xml:space="preserve"> ––––, ––––; ––– NW2d –––– (2023) (Docket Nos. 162907, 163430), which reversed two aspects of </w:t>
      </w:r>
      <w:hyperlink r:id="rId13">
        <w:r>
          <w:rPr>
            <w:rFonts w:ascii="Times New Roman" w:hAnsi="Times New Roman"/>
            <w:i/>
            <w:color w:val="0E568C"/>
            <w:sz w:val="20"/>
          </w:rPr>
          <w:t>Lugo v Ameritech Corp Inc</w:t>
        </w:r>
        <w:r>
          <w:rPr>
            <w:rFonts w:ascii="Times New Roman" w:hAnsi="Times New Roman"/>
            <w:color w:val="0E568C"/>
            <w:sz w:val="20"/>
          </w:rPr>
          <w:t>, 464 Mich. 512, 629 N.W.2d 384 (2001)</w:t>
        </w:r>
      </w:hyperlink>
      <w:r>
        <w:rPr>
          <w:rFonts w:ascii="Times New Roman" w:hAnsi="Times New Roman"/>
          <w:color w:val="000000"/>
          <w:sz w:val="20"/>
        </w:rPr>
        <w:t>:</w:t>
      </w:r>
    </w:p>
    <w:p w14:paraId="030B6BCE" w14:textId="77777777" w:rsidR="006F7663" w:rsidRDefault="007A743B">
      <w:pPr>
        <w:spacing w:before="200" w:after="0" w:line="275" w:lineRule="atLeast"/>
        <w:ind w:left="480" w:right="480"/>
        <w:jc w:val="both"/>
      </w:pPr>
      <w:r>
        <w:rPr>
          <w:rFonts w:ascii="Times New Roman" w:hAnsi="Times New Roman"/>
          <w:color w:val="000000"/>
          <w:sz w:val="20"/>
        </w:rPr>
        <w:t xml:space="preserve">First, we overrule </w:t>
      </w:r>
      <w:hyperlink r:id="rId14">
        <w:r>
          <w:rPr>
            <w:rFonts w:ascii="Times New Roman" w:hAnsi="Times New Roman"/>
            <w:i/>
            <w:color w:val="0E568C"/>
            <w:sz w:val="20"/>
          </w:rPr>
          <w:t>Lugo</w:t>
        </w:r>
      </w:hyperlink>
      <w:r>
        <w:rPr>
          <w:rFonts w:ascii="Times New Roman" w:hAnsi="Times New Roman"/>
          <w:color w:val="000000"/>
          <w:sz w:val="20"/>
        </w:rPr>
        <w:t xml:space="preserve">’s decision to make the open and obvious danger doctrine a part of a land </w:t>
      </w:r>
      <w:r>
        <w:rPr>
          <w:rFonts w:ascii="Times New Roman" w:hAnsi="Times New Roman"/>
          <w:color w:val="000000"/>
          <w:sz w:val="20"/>
        </w:rPr>
        <w:t>possessor's duty. Rather, we hold that the open and obvious nature of a condition is relevant to breach and the parties’ comparative fault. Second</w:t>
      </w:r>
      <w:r>
        <w:rPr>
          <w:rFonts w:ascii="Times New Roman" w:hAnsi="Times New Roman"/>
          <w:color w:val="000000"/>
          <w:sz w:val="20"/>
        </w:rPr>
        <w:t>, we overrule the special-aspects doctrine and hold that when a land possessor should anticipate the harm that results from an open and obvious condition, despite its obviousness, the possessor is not relieved of the duty of reasonable care. [</w:t>
      </w:r>
      <w:proofErr w:type="spellStart"/>
      <w:r>
        <w:rPr>
          <w:rFonts w:ascii="Times New Roman" w:hAnsi="Times New Roman"/>
          <w:i/>
          <w:color w:val="000000"/>
          <w:sz w:val="20"/>
        </w:rPr>
        <w:t>Kandil-Elsaye</w:t>
      </w:r>
      <w:r>
        <w:rPr>
          <w:rFonts w:ascii="Times New Roman" w:hAnsi="Times New Roman"/>
          <w:i/>
          <w:color w:val="000000"/>
          <w:sz w:val="20"/>
        </w:rPr>
        <w:t>d</w:t>
      </w:r>
      <w:proofErr w:type="spellEnd"/>
      <w:r>
        <w:rPr>
          <w:rFonts w:ascii="Times New Roman" w:hAnsi="Times New Roman"/>
          <w:color w:val="000000"/>
          <w:sz w:val="20"/>
        </w:rPr>
        <w:t xml:space="preserve">, ––– </w:t>
      </w:r>
      <w:proofErr w:type="spellStart"/>
      <w:r>
        <w:rPr>
          <w:rFonts w:ascii="Times New Roman" w:hAnsi="Times New Roman"/>
          <w:color w:val="000000"/>
          <w:sz w:val="20"/>
        </w:rPr>
        <w:t>Mich</w:t>
      </w:r>
      <w:proofErr w:type="spellEnd"/>
      <w:r>
        <w:rPr>
          <w:rFonts w:ascii="Times New Roman" w:hAnsi="Times New Roman"/>
          <w:color w:val="000000"/>
          <w:sz w:val="20"/>
        </w:rPr>
        <w:t xml:space="preserve"> at ––––, slip op. at 2.]</w:t>
      </w:r>
    </w:p>
    <w:p w14:paraId="68336F70" w14:textId="77777777" w:rsidR="006F7663" w:rsidRDefault="007A743B">
      <w:pPr>
        <w:spacing w:before="200" w:after="0" w:line="275" w:lineRule="atLeast"/>
        <w:jc w:val="both"/>
      </w:pPr>
      <w:r>
        <w:rPr>
          <w:rFonts w:ascii="Times New Roman" w:hAnsi="Times New Roman"/>
          <w:color w:val="000000"/>
          <w:sz w:val="20"/>
        </w:rPr>
        <w:t>Because the legal framework has been significantly altered, we vacate the trial court's holding that the open and obvious doctrine does not apply and remand for reconsideration in light of our Supreme Court's decision i</w:t>
      </w:r>
      <w:r>
        <w:rPr>
          <w:rFonts w:ascii="Times New Roman" w:hAnsi="Times New Roman"/>
          <w:color w:val="000000"/>
          <w:sz w:val="20"/>
        </w:rPr>
        <w:t xml:space="preserve">n </w:t>
      </w:r>
      <w:hyperlink r:id="rId15">
        <w:proofErr w:type="spellStart"/>
        <w:r>
          <w:rPr>
            <w:rFonts w:ascii="Times New Roman" w:hAnsi="Times New Roman"/>
            <w:i/>
            <w:color w:val="0E568C"/>
            <w:sz w:val="20"/>
          </w:rPr>
          <w:t>Kandil-Elsayed</w:t>
        </w:r>
        <w:proofErr w:type="spellEnd"/>
      </w:hyperlink>
      <w:r>
        <w:rPr>
          <w:rFonts w:ascii="Times New Roman" w:hAnsi="Times New Roman"/>
          <w:color w:val="000000"/>
          <w:sz w:val="20"/>
        </w:rPr>
        <w:t>. But we affirm the trial court's finding that there is a question of fact whether defendant had constructive notice of the sidewalk defect.</w:t>
      </w:r>
    </w:p>
    <w:p w14:paraId="1846FEF9" w14:textId="77777777" w:rsidR="006F7663" w:rsidRDefault="007A743B">
      <w:pPr>
        <w:spacing w:after="0" w:line="275" w:lineRule="atLeast"/>
        <w:jc w:val="both"/>
      </w:pPr>
      <w:r>
        <w:rPr>
          <w:rFonts w:ascii="Times New Roman" w:hAnsi="Times New Roman"/>
          <w:color w:val="000000"/>
          <w:sz w:val="20"/>
        </w:rPr>
        <w:t> </w:t>
      </w:r>
    </w:p>
    <w:p w14:paraId="76B0546B" w14:textId="77777777" w:rsidR="006F7663" w:rsidRDefault="007A743B">
      <w:pPr>
        <w:spacing w:before="400" w:after="0" w:line="275" w:lineRule="atLeast"/>
        <w:jc w:val="center"/>
      </w:pPr>
      <w:bookmarkStart w:id="6" w:name="co_anchor_I48c89c31c41811ee8e6fc8980681"/>
      <w:r>
        <w:rPr>
          <w:rFonts w:ascii="Times New Roman" w:hAnsi="Times New Roman"/>
          <w:color w:val="000000"/>
          <w:sz w:val="20"/>
        </w:rPr>
        <w:t>I. BACKGROUND</w:t>
      </w:r>
    </w:p>
    <w:bookmarkEnd w:id="6"/>
    <w:p w14:paraId="65A39563" w14:textId="77777777" w:rsidR="006F7663" w:rsidRDefault="007A743B">
      <w:pPr>
        <w:spacing w:before="200" w:after="0" w:line="275" w:lineRule="atLeast"/>
        <w:jc w:val="both"/>
      </w:pPr>
      <w:r>
        <w:rPr>
          <w:rFonts w:ascii="Times New Roman" w:hAnsi="Times New Roman"/>
          <w:color w:val="000000"/>
          <w:sz w:val="20"/>
        </w:rPr>
        <w:t>In May 2020, plaintiff, Betsy Jimenez, was walking with her mother aro</w:t>
      </w:r>
      <w:r>
        <w:rPr>
          <w:rFonts w:ascii="Times New Roman" w:hAnsi="Times New Roman"/>
          <w:color w:val="000000"/>
          <w:sz w:val="20"/>
        </w:rPr>
        <w:t>und a neighborhood in Lincoln Park at approximately 10:30 p.m. when her foot struck an uneven sidewalk slab, causing her to fall and sustain serious injuries necessitating surgical repair. Jimenez had never walked on the subject sidewalk before the inciden</w:t>
      </w:r>
      <w:r>
        <w:rPr>
          <w:rFonts w:ascii="Times New Roman" w:hAnsi="Times New Roman"/>
          <w:color w:val="000000"/>
          <w:sz w:val="20"/>
        </w:rPr>
        <w:t xml:space="preserve">t. She maintains that she could not see the uneven sidewalk before she fell because it was “pitch black dark” and there were no lights nearby. Jimenez acknowledged that there was a </w:t>
      </w:r>
      <w:proofErr w:type="gramStart"/>
      <w:r>
        <w:rPr>
          <w:rFonts w:ascii="Times New Roman" w:hAnsi="Times New Roman"/>
          <w:color w:val="000000"/>
          <w:sz w:val="20"/>
        </w:rPr>
        <w:t>street light</w:t>
      </w:r>
      <w:proofErr w:type="gramEnd"/>
      <w:r>
        <w:rPr>
          <w:rFonts w:ascii="Times New Roman" w:hAnsi="Times New Roman"/>
          <w:color w:val="000000"/>
          <w:sz w:val="20"/>
        </w:rPr>
        <w:t xml:space="preserve"> in the immediate area, but stated that it was either not on or</w:t>
      </w:r>
      <w:r>
        <w:rPr>
          <w:rFonts w:ascii="Times New Roman" w:hAnsi="Times New Roman"/>
          <w:color w:val="000000"/>
          <w:sz w:val="20"/>
        </w:rPr>
        <w:t>, if it was on, the light was blocked by leaves. She stated that she was looking straight ahead, not at the ground, when her foot struck the elevated sidewalk slab. Jimenez's mother confirmed that it was “quite dark” at the time of the incident and maintai</w:t>
      </w:r>
      <w:r>
        <w:rPr>
          <w:rFonts w:ascii="Times New Roman" w:hAnsi="Times New Roman"/>
          <w:color w:val="000000"/>
          <w:sz w:val="20"/>
        </w:rPr>
        <w:t>ned that she could not see the uneven sidewalk before her daughter fell. She stated that the two streetlights in the area were not on. After Jimenez fell, her mother observed the uneven sidewalk. Jimenez later returned to the scene to photograph and measur</w:t>
      </w:r>
      <w:r>
        <w:rPr>
          <w:rFonts w:ascii="Times New Roman" w:hAnsi="Times New Roman"/>
          <w:color w:val="000000"/>
          <w:sz w:val="20"/>
        </w:rPr>
        <w:t xml:space="preserve">e the uneven sidewalk. She testified that the vertical discontinuity between the two slabs was approximately four inches, and the city's sidewalk </w:t>
      </w:r>
      <w:r>
        <w:rPr>
          <w:rFonts w:ascii="Times New Roman" w:hAnsi="Times New Roman"/>
          <w:color w:val="000000"/>
          <w:sz w:val="20"/>
        </w:rPr>
        <w:lastRenderedPageBreak/>
        <w:t xml:space="preserve">inspector, Khaled </w:t>
      </w:r>
      <w:proofErr w:type="spellStart"/>
      <w:r>
        <w:rPr>
          <w:rFonts w:ascii="Times New Roman" w:hAnsi="Times New Roman"/>
          <w:color w:val="000000"/>
          <w:sz w:val="20"/>
        </w:rPr>
        <w:t>Shwekat</w:t>
      </w:r>
      <w:proofErr w:type="spellEnd"/>
      <w:r>
        <w:rPr>
          <w:rFonts w:ascii="Times New Roman" w:hAnsi="Times New Roman"/>
          <w:color w:val="000000"/>
          <w:sz w:val="20"/>
        </w:rPr>
        <w:t>, confirmed the four-inch discontinuity with his own measurements.</w:t>
      </w:r>
    </w:p>
    <w:p w14:paraId="4FA6F55E" w14:textId="77777777" w:rsidR="006F7663" w:rsidRDefault="007A743B">
      <w:pPr>
        <w:spacing w:after="0" w:line="275" w:lineRule="atLeast"/>
        <w:jc w:val="both"/>
      </w:pPr>
      <w:r>
        <w:rPr>
          <w:rFonts w:ascii="Times New Roman" w:hAnsi="Times New Roman"/>
          <w:color w:val="000000"/>
          <w:sz w:val="20"/>
        </w:rPr>
        <w:t> </w:t>
      </w:r>
    </w:p>
    <w:p w14:paraId="53200165" w14:textId="77777777" w:rsidR="006F7663" w:rsidRDefault="007A743B">
      <w:pPr>
        <w:spacing w:after="0" w:line="275" w:lineRule="atLeast"/>
        <w:jc w:val="both"/>
      </w:pPr>
      <w:bookmarkStart w:id="7" w:name="co_pp_sp_999_2_1"/>
      <w:r>
        <w:rPr>
          <w:rFonts w:ascii="Times New Roman" w:hAnsi="Times New Roman"/>
          <w:b/>
          <w:color w:val="000000"/>
          <w:sz w:val="20"/>
        </w:rPr>
        <w:t>*2</w:t>
      </w:r>
      <w:bookmarkEnd w:id="7"/>
      <w:r>
        <w:rPr>
          <w:rFonts w:ascii="Times New Roman" w:hAnsi="Times New Roman"/>
          <w:color w:val="000000"/>
          <w:sz w:val="20"/>
        </w:rPr>
        <w:t xml:space="preserve"> The city's an</w:t>
      </w:r>
      <w:r>
        <w:rPr>
          <w:rFonts w:ascii="Times New Roman" w:hAnsi="Times New Roman"/>
          <w:color w:val="000000"/>
          <w:sz w:val="20"/>
        </w:rPr>
        <w:t xml:space="preserve">nual sidewalk inspection program began in 2017. Under that program, any defect exceeding ¾ inch is considered a trip hazard and the defect must be fixed. Both </w:t>
      </w:r>
      <w:proofErr w:type="spellStart"/>
      <w:r>
        <w:rPr>
          <w:rFonts w:ascii="Times New Roman" w:hAnsi="Times New Roman"/>
          <w:color w:val="000000"/>
          <w:sz w:val="20"/>
        </w:rPr>
        <w:t>Shwekat</w:t>
      </w:r>
      <w:proofErr w:type="spellEnd"/>
      <w:r>
        <w:rPr>
          <w:rFonts w:ascii="Times New Roman" w:hAnsi="Times New Roman"/>
          <w:color w:val="000000"/>
          <w:sz w:val="20"/>
        </w:rPr>
        <w:t xml:space="preserve"> and the city's manager testified that the subject sidewalk was not </w:t>
      </w:r>
      <w:proofErr w:type="gramStart"/>
      <w:r>
        <w:rPr>
          <w:rFonts w:ascii="Times New Roman" w:hAnsi="Times New Roman"/>
          <w:color w:val="000000"/>
          <w:sz w:val="20"/>
        </w:rPr>
        <w:t>safe</w:t>
      </w:r>
      <w:proofErr w:type="gramEnd"/>
      <w:r>
        <w:rPr>
          <w:rFonts w:ascii="Times New Roman" w:hAnsi="Times New Roman"/>
          <w:color w:val="000000"/>
          <w:sz w:val="20"/>
        </w:rPr>
        <w:t xml:space="preserve"> and it was a trip</w:t>
      </w:r>
      <w:r>
        <w:rPr>
          <w:rFonts w:ascii="Times New Roman" w:hAnsi="Times New Roman"/>
          <w:color w:val="000000"/>
          <w:sz w:val="20"/>
        </w:rPr>
        <w:t xml:space="preserve"> hazard. But because the subject sidewalk </w:t>
      </w:r>
      <w:proofErr w:type="gramStart"/>
      <w:r>
        <w:rPr>
          <w:rFonts w:ascii="Times New Roman" w:hAnsi="Times New Roman"/>
          <w:color w:val="000000"/>
          <w:sz w:val="20"/>
        </w:rPr>
        <w:t>was located in</w:t>
      </w:r>
      <w:proofErr w:type="gramEnd"/>
      <w:r>
        <w:rPr>
          <w:rFonts w:ascii="Times New Roman" w:hAnsi="Times New Roman"/>
          <w:color w:val="000000"/>
          <w:sz w:val="20"/>
        </w:rPr>
        <w:t xml:space="preserve"> an area that had not yet been inspected at the time of Jimenez's fall, and no one had complained about the subject sidewalk, the city maintains it did not have notice of the defect before the inciden</w:t>
      </w:r>
      <w:r>
        <w:rPr>
          <w:rFonts w:ascii="Times New Roman" w:hAnsi="Times New Roman"/>
          <w:color w:val="000000"/>
          <w:sz w:val="20"/>
        </w:rPr>
        <w:t>t. After the incident, Jimenez notified the city of the sidewalk defect and her injuries. The city subsequently repaired the sidewalk.</w:t>
      </w:r>
    </w:p>
    <w:p w14:paraId="0DE26F43" w14:textId="77777777" w:rsidR="006F7663" w:rsidRDefault="007A743B">
      <w:pPr>
        <w:spacing w:after="0" w:line="275" w:lineRule="atLeast"/>
        <w:jc w:val="both"/>
      </w:pPr>
      <w:r>
        <w:rPr>
          <w:rFonts w:ascii="Times New Roman" w:hAnsi="Times New Roman"/>
          <w:color w:val="000000"/>
          <w:sz w:val="20"/>
        </w:rPr>
        <w:t> </w:t>
      </w:r>
    </w:p>
    <w:p w14:paraId="42D32293" w14:textId="77777777" w:rsidR="006F7663" w:rsidRDefault="007A743B">
      <w:pPr>
        <w:spacing w:after="0" w:line="275" w:lineRule="atLeast"/>
        <w:jc w:val="both"/>
      </w:pPr>
      <w:r>
        <w:rPr>
          <w:rFonts w:ascii="Times New Roman" w:hAnsi="Times New Roman"/>
          <w:color w:val="000000"/>
          <w:sz w:val="20"/>
        </w:rPr>
        <w:t xml:space="preserve">Jimenez filed a complaint against the city under the sidewalk exception to the governmental tort liability act (GTLA), </w:t>
      </w:r>
      <w:hyperlink r:id="rId16">
        <w:r>
          <w:rPr>
            <w:rFonts w:ascii="Times New Roman" w:hAnsi="Times New Roman"/>
            <w:color w:val="0E568C"/>
            <w:sz w:val="20"/>
          </w:rPr>
          <w:t xml:space="preserve">MCL 691.1401, </w:t>
        </w:r>
        <w:r>
          <w:rPr>
            <w:rFonts w:ascii="Times New Roman" w:hAnsi="Times New Roman"/>
            <w:i/>
            <w:color w:val="0E568C"/>
            <w:sz w:val="20"/>
          </w:rPr>
          <w:t>et. seq.</w:t>
        </w:r>
      </w:hyperlink>
      <w:r>
        <w:rPr>
          <w:rFonts w:ascii="Times New Roman" w:hAnsi="Times New Roman"/>
          <w:color w:val="000000"/>
          <w:sz w:val="20"/>
        </w:rPr>
        <w:t xml:space="preserve"> Jimenez alleged that the city breached its statutory duty under </w:t>
      </w:r>
      <w:hyperlink r:id="rId17">
        <w:r>
          <w:rPr>
            <w:rFonts w:ascii="Times New Roman" w:hAnsi="Times New Roman"/>
            <w:color w:val="0E568C"/>
            <w:sz w:val="20"/>
          </w:rPr>
          <w:t>MCL 691.1402a</w:t>
        </w:r>
      </w:hyperlink>
      <w:r>
        <w:rPr>
          <w:rFonts w:ascii="Times New Roman" w:hAnsi="Times New Roman"/>
          <w:color w:val="000000"/>
          <w:sz w:val="20"/>
        </w:rPr>
        <w:t xml:space="preserve"> to maintain the sidewalk in reasonable repair “[d]</w:t>
      </w:r>
      <w:proofErr w:type="spellStart"/>
      <w:r>
        <w:rPr>
          <w:rFonts w:ascii="Times New Roman" w:hAnsi="Times New Roman"/>
          <w:color w:val="000000"/>
          <w:sz w:val="20"/>
        </w:rPr>
        <w:t>espite</w:t>
      </w:r>
      <w:proofErr w:type="spellEnd"/>
      <w:r>
        <w:rPr>
          <w:rFonts w:ascii="Times New Roman" w:hAnsi="Times New Roman"/>
          <w:color w:val="000000"/>
          <w:sz w:val="20"/>
        </w:rPr>
        <w:t xml:space="preserve"> having actual and/or constructive knowledge of the defect .... Followin</w:t>
      </w:r>
      <w:r>
        <w:rPr>
          <w:rFonts w:ascii="Times New Roman" w:hAnsi="Times New Roman"/>
          <w:color w:val="000000"/>
          <w:sz w:val="20"/>
        </w:rPr>
        <w:t xml:space="preserve">g discovery, the city filed a motion for summary disposition under </w:t>
      </w:r>
      <w:hyperlink r:id="rId18">
        <w:r>
          <w:rPr>
            <w:rFonts w:ascii="Times New Roman" w:hAnsi="Times New Roman"/>
            <w:color w:val="0E568C"/>
            <w:sz w:val="20"/>
          </w:rPr>
          <w:t>MCR 2.116(C)(7), (8), and (10)</w:t>
        </w:r>
      </w:hyperlink>
      <w:r>
        <w:rPr>
          <w:rFonts w:ascii="Times New Roman" w:hAnsi="Times New Roman"/>
          <w:color w:val="000000"/>
          <w:sz w:val="20"/>
        </w:rPr>
        <w:t>, arguing that (1) the danger posed by the approximate four-inch discontinuity between the sidewalk slabs was open and obvious</w:t>
      </w:r>
      <w:bookmarkStart w:id="8" w:name="co_fnRef_B00012078453350_ID0E1IAC_1"/>
      <w:r>
        <w:fldChar w:fldCharType="begin"/>
      </w:r>
      <w:r>
        <w:instrText xml:space="preserve"> HYPERLINK \l "c</w:instrText>
      </w:r>
      <w:r>
        <w:instrText xml:space="preserve">o_footnote_B00012078453350_1" \h </w:instrText>
      </w:r>
      <w:r>
        <w:fldChar w:fldCharType="separate"/>
      </w:r>
      <w:r>
        <w:rPr>
          <w:rFonts w:ascii="Times New Roman" w:hAnsi="Times New Roman"/>
          <w:color w:val="0E568C"/>
          <w:sz w:val="16"/>
          <w:vertAlign w:val="superscript"/>
        </w:rPr>
        <w:t>1</w:t>
      </w:r>
      <w:r>
        <w:rPr>
          <w:rFonts w:ascii="Times New Roman" w:hAnsi="Times New Roman"/>
          <w:color w:val="0E568C"/>
          <w:sz w:val="16"/>
          <w:vertAlign w:val="superscript"/>
        </w:rPr>
        <w:fldChar w:fldCharType="end"/>
      </w:r>
      <w:bookmarkEnd w:id="8"/>
      <w:r>
        <w:rPr>
          <w:rFonts w:ascii="Times New Roman" w:hAnsi="Times New Roman"/>
          <w:color w:val="000000"/>
          <w:sz w:val="20"/>
        </w:rPr>
        <w:t xml:space="preserve"> and (2) the city did not have actual or constructive notice of the sidewalk defect prior to the subject incident.</w:t>
      </w:r>
      <w:bookmarkStart w:id="9" w:name="co_fnRef_B00022078453350_ID0EBJAC_1"/>
      <w:r>
        <w:fldChar w:fldCharType="begin"/>
      </w:r>
      <w:r>
        <w:instrText xml:space="preserve"> HYPERLINK \l "co_footnote_B00022078453350_1" \h </w:instrText>
      </w:r>
      <w:r>
        <w:fldChar w:fldCharType="separate"/>
      </w:r>
      <w:r>
        <w:rPr>
          <w:rFonts w:ascii="Times New Roman" w:hAnsi="Times New Roman"/>
          <w:color w:val="0E568C"/>
          <w:sz w:val="16"/>
          <w:vertAlign w:val="superscript"/>
        </w:rPr>
        <w:t>2</w:t>
      </w:r>
      <w:r>
        <w:rPr>
          <w:rFonts w:ascii="Times New Roman" w:hAnsi="Times New Roman"/>
          <w:color w:val="0E568C"/>
          <w:sz w:val="16"/>
          <w:vertAlign w:val="superscript"/>
        </w:rPr>
        <w:fldChar w:fldCharType="end"/>
      </w:r>
      <w:bookmarkEnd w:id="9"/>
      <w:r>
        <w:rPr>
          <w:rFonts w:ascii="Times New Roman" w:hAnsi="Times New Roman"/>
          <w:color w:val="000000"/>
          <w:sz w:val="20"/>
        </w:rPr>
        <w:t xml:space="preserve"> Jimenez responded that there was a question of fact w</w:t>
      </w:r>
      <w:r>
        <w:rPr>
          <w:rFonts w:ascii="Times New Roman" w:hAnsi="Times New Roman"/>
          <w:color w:val="000000"/>
          <w:sz w:val="20"/>
        </w:rPr>
        <w:t>hether the vertical discontinuity was open and obvious because the hazard was not identifiable due to the lack of light. She further argued that a trier of fact could reasonably infer that the city, in the exercise of reasonable diligence, should have disc</w:t>
      </w:r>
      <w:r>
        <w:rPr>
          <w:rFonts w:ascii="Times New Roman" w:hAnsi="Times New Roman"/>
          <w:color w:val="000000"/>
          <w:sz w:val="20"/>
        </w:rPr>
        <w:t>overed and repaired the defect, which photographic evidence from Google Earth established existed for well over a decade before the incident. Jimenez also relied on a report from Joellen Gill, an engineer and a certified human factors and safety profession</w:t>
      </w:r>
      <w:r>
        <w:rPr>
          <w:rFonts w:ascii="Times New Roman" w:hAnsi="Times New Roman"/>
          <w:color w:val="000000"/>
          <w:sz w:val="20"/>
        </w:rPr>
        <w:t>al. Gill opined that the sidewalk discontinuity, which was the same height as a step, violated safety guidelines and would not have been detected in low illumination.</w:t>
      </w:r>
    </w:p>
    <w:p w14:paraId="38E234F3" w14:textId="77777777" w:rsidR="006F7663" w:rsidRDefault="007A743B">
      <w:pPr>
        <w:spacing w:after="0" w:line="275" w:lineRule="atLeast"/>
        <w:jc w:val="both"/>
      </w:pPr>
      <w:r>
        <w:rPr>
          <w:rFonts w:ascii="Times New Roman" w:hAnsi="Times New Roman"/>
          <w:color w:val="000000"/>
          <w:sz w:val="20"/>
        </w:rPr>
        <w:t> </w:t>
      </w:r>
    </w:p>
    <w:p w14:paraId="5916160F" w14:textId="77777777" w:rsidR="006F7663" w:rsidRDefault="007A743B">
      <w:pPr>
        <w:spacing w:after="0" w:line="275" w:lineRule="atLeast"/>
        <w:jc w:val="both"/>
      </w:pPr>
      <w:r>
        <w:rPr>
          <w:rFonts w:ascii="Times New Roman" w:hAnsi="Times New Roman"/>
          <w:color w:val="000000"/>
          <w:sz w:val="20"/>
        </w:rPr>
        <w:t>Following argument on the motion, the trial court denied the city's motion. The trial c</w:t>
      </w:r>
      <w:r>
        <w:rPr>
          <w:rFonts w:ascii="Times New Roman" w:hAnsi="Times New Roman"/>
          <w:color w:val="000000"/>
          <w:sz w:val="20"/>
        </w:rPr>
        <w:t xml:space="preserve">ourt found that “the 4-inch sidewalk flag which is the same height as a step is a special aspect that </w:t>
      </w:r>
      <w:r>
        <w:rPr>
          <w:rFonts w:ascii="Times New Roman" w:hAnsi="Times New Roman"/>
          <w:color w:val="000000"/>
          <w:sz w:val="20"/>
        </w:rPr>
        <w:t>makes the risk of harm unreasonable.” Relying on evidence that “it was dark outside, the sidewalk was the same height as a step which Plaintiff expected t</w:t>
      </w:r>
      <w:r>
        <w:rPr>
          <w:rFonts w:ascii="Times New Roman" w:hAnsi="Times New Roman"/>
          <w:color w:val="000000"/>
          <w:sz w:val="20"/>
        </w:rPr>
        <w:t xml:space="preserve">o be flat, and Plaintiff was looking </w:t>
      </w:r>
      <w:proofErr w:type="gramStart"/>
      <w:r>
        <w:rPr>
          <w:rFonts w:ascii="Times New Roman" w:hAnsi="Times New Roman"/>
          <w:color w:val="000000"/>
          <w:sz w:val="20"/>
        </w:rPr>
        <w:t>ahead[</w:t>
      </w:r>
      <w:proofErr w:type="gramEnd"/>
      <w:r>
        <w:rPr>
          <w:rFonts w:ascii="Times New Roman" w:hAnsi="Times New Roman"/>
          <w:color w:val="000000"/>
          <w:sz w:val="20"/>
        </w:rPr>
        <w:t xml:space="preserve">,]” the trial court concluded that “the open and obvious doctrine does not apply.” The court further held that “[t]his unusual condition of the sidewalk along with the photo evidence that the uneven sidewalk flag </w:t>
      </w:r>
      <w:r>
        <w:rPr>
          <w:rFonts w:ascii="Times New Roman" w:hAnsi="Times New Roman"/>
          <w:color w:val="000000"/>
          <w:sz w:val="20"/>
        </w:rPr>
        <w:t>was possibly there for years is enough to create a question of fact regarding notice.” This appeal followed.</w:t>
      </w:r>
    </w:p>
    <w:p w14:paraId="3F5917BD" w14:textId="77777777" w:rsidR="006F7663" w:rsidRDefault="007A743B">
      <w:pPr>
        <w:spacing w:after="0" w:line="275" w:lineRule="atLeast"/>
        <w:jc w:val="both"/>
      </w:pPr>
      <w:r>
        <w:rPr>
          <w:rFonts w:ascii="Times New Roman" w:hAnsi="Times New Roman"/>
          <w:color w:val="000000"/>
          <w:sz w:val="20"/>
        </w:rPr>
        <w:t> </w:t>
      </w:r>
    </w:p>
    <w:p w14:paraId="57F082C7" w14:textId="77777777" w:rsidR="006F7663" w:rsidRDefault="007A743B">
      <w:pPr>
        <w:spacing w:before="400" w:after="0" w:line="275" w:lineRule="atLeast"/>
        <w:jc w:val="center"/>
      </w:pPr>
      <w:bookmarkStart w:id="10" w:name="co_anchor_I48cc1ea1c41811ee8e6fc8980681"/>
      <w:r>
        <w:rPr>
          <w:rFonts w:ascii="Times New Roman" w:hAnsi="Times New Roman"/>
          <w:color w:val="000000"/>
          <w:sz w:val="20"/>
        </w:rPr>
        <w:t>II. ANALYSIS</w:t>
      </w:r>
    </w:p>
    <w:bookmarkEnd w:id="10"/>
    <w:p w14:paraId="40D5F352" w14:textId="77777777" w:rsidR="006F7663" w:rsidRDefault="007A743B">
      <w:pPr>
        <w:spacing w:before="600" w:after="0" w:line="275" w:lineRule="atLeast"/>
        <w:jc w:val="center"/>
      </w:pPr>
      <w:r>
        <w:rPr>
          <w:rFonts w:ascii="Times New Roman" w:hAnsi="Times New Roman"/>
          <w:color w:val="000000"/>
          <w:sz w:val="20"/>
        </w:rPr>
        <w:t>A. STANDARD OF REVIEW</w:t>
      </w:r>
    </w:p>
    <w:p w14:paraId="6AE46142" w14:textId="77777777" w:rsidR="006F7663" w:rsidRDefault="007A743B">
      <w:pPr>
        <w:spacing w:before="200" w:after="0" w:line="275" w:lineRule="atLeast"/>
        <w:jc w:val="both"/>
      </w:pPr>
      <w:r>
        <w:rPr>
          <w:rFonts w:ascii="Times New Roman" w:hAnsi="Times New Roman"/>
          <w:color w:val="000000"/>
          <w:sz w:val="20"/>
        </w:rPr>
        <w:t xml:space="preserve">The city argues that the trial court erred by denying its motion for summary disposition. “We review de novo a trial court's decision on a motion for summary disposition.” </w:t>
      </w:r>
      <w:hyperlink r:id="rId19" w:anchor="co_pp_sp_542_159">
        <w:r>
          <w:rPr>
            <w:rFonts w:ascii="Times New Roman" w:hAnsi="Times New Roman"/>
            <w:i/>
            <w:color w:val="0E568C"/>
            <w:sz w:val="20"/>
          </w:rPr>
          <w:t>El-Khalil v Oakwood Healthcar</w:t>
        </w:r>
        <w:r>
          <w:rPr>
            <w:rFonts w:ascii="Times New Roman" w:hAnsi="Times New Roman"/>
            <w:i/>
            <w:color w:val="0E568C"/>
            <w:sz w:val="20"/>
          </w:rPr>
          <w:t>e, Inc</w:t>
        </w:r>
        <w:r>
          <w:rPr>
            <w:rFonts w:ascii="Times New Roman" w:hAnsi="Times New Roman"/>
            <w:color w:val="0E568C"/>
            <w:sz w:val="20"/>
          </w:rPr>
          <w:t>, 504 Mich. 152, 159, 934 N.W.2d 665 (2019)</w:t>
        </w:r>
      </w:hyperlink>
      <w:r>
        <w:rPr>
          <w:rFonts w:ascii="Times New Roman" w:hAnsi="Times New Roman"/>
          <w:color w:val="000000"/>
          <w:sz w:val="20"/>
        </w:rPr>
        <w:t xml:space="preserve">. We also review de novo questions of government immunity. </w:t>
      </w:r>
      <w:hyperlink r:id="rId20" w:anchor="co_pp_sp_595_441">
        <w:r>
          <w:rPr>
            <w:rFonts w:ascii="Times New Roman" w:hAnsi="Times New Roman"/>
            <w:i/>
            <w:color w:val="0E568C"/>
            <w:sz w:val="20"/>
          </w:rPr>
          <w:t>Petersen Fin LLC v Kentwood</w:t>
        </w:r>
        <w:r>
          <w:rPr>
            <w:rFonts w:ascii="Times New Roman" w:hAnsi="Times New Roman"/>
            <w:color w:val="0E568C"/>
            <w:sz w:val="20"/>
          </w:rPr>
          <w:t xml:space="preserve">, 326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433, 441, 928 N.W.2d 245 (2018)</w:t>
        </w:r>
      </w:hyperlink>
      <w:r>
        <w:rPr>
          <w:rFonts w:ascii="Times New Roman" w:hAnsi="Times New Roman"/>
          <w:color w:val="000000"/>
          <w:sz w:val="20"/>
        </w:rPr>
        <w:t>.</w:t>
      </w:r>
    </w:p>
    <w:p w14:paraId="56742453" w14:textId="77777777" w:rsidR="006F7663" w:rsidRDefault="007A743B">
      <w:pPr>
        <w:spacing w:after="0" w:line="275" w:lineRule="atLeast"/>
        <w:jc w:val="both"/>
      </w:pPr>
      <w:r>
        <w:rPr>
          <w:rFonts w:ascii="Times New Roman" w:hAnsi="Times New Roman"/>
          <w:color w:val="000000"/>
          <w:sz w:val="20"/>
        </w:rPr>
        <w:t> </w:t>
      </w:r>
    </w:p>
    <w:p w14:paraId="40A26E07" w14:textId="77777777" w:rsidR="006F7663" w:rsidRDefault="007A743B">
      <w:pPr>
        <w:spacing w:after="0" w:line="275" w:lineRule="atLeast"/>
        <w:jc w:val="both"/>
      </w:pPr>
      <w:bookmarkStart w:id="11" w:name="co_pp_sp_999_3_1"/>
      <w:r>
        <w:rPr>
          <w:rFonts w:ascii="Times New Roman" w:hAnsi="Times New Roman"/>
          <w:b/>
          <w:color w:val="000000"/>
          <w:sz w:val="20"/>
        </w:rPr>
        <w:t>*3</w:t>
      </w:r>
      <w:bookmarkEnd w:id="11"/>
      <w:r>
        <w:rPr>
          <w:rFonts w:ascii="Times New Roman" w:hAnsi="Times New Roman"/>
          <w:color w:val="000000"/>
          <w:sz w:val="20"/>
        </w:rPr>
        <w:t xml:space="preserve"> Summary dispo</w:t>
      </w:r>
      <w:r>
        <w:rPr>
          <w:rFonts w:ascii="Times New Roman" w:hAnsi="Times New Roman"/>
          <w:color w:val="000000"/>
          <w:sz w:val="20"/>
        </w:rPr>
        <w:t xml:space="preserve">sition under </w:t>
      </w:r>
      <w:hyperlink r:id="rId21">
        <w:r>
          <w:rPr>
            <w:rFonts w:ascii="Times New Roman" w:hAnsi="Times New Roman"/>
            <w:color w:val="0E568C"/>
            <w:sz w:val="20"/>
          </w:rPr>
          <w:t>MCR 2.116(C)(7)</w:t>
        </w:r>
      </w:hyperlink>
      <w:r>
        <w:rPr>
          <w:rFonts w:ascii="Times New Roman" w:hAnsi="Times New Roman"/>
          <w:color w:val="000000"/>
          <w:sz w:val="20"/>
        </w:rPr>
        <w:t xml:space="preserve"> is proper when a claim is barred because of immunity granted under the law. </w:t>
      </w:r>
      <w:hyperlink r:id="rId22" w:anchor="co_pp_sp_543_391">
        <w:proofErr w:type="spellStart"/>
        <w:r>
          <w:rPr>
            <w:rFonts w:ascii="Times New Roman" w:hAnsi="Times New Roman"/>
            <w:i/>
            <w:color w:val="0E568C"/>
            <w:sz w:val="20"/>
          </w:rPr>
          <w:t>Moraccini</w:t>
        </w:r>
        <w:proofErr w:type="spellEnd"/>
        <w:r>
          <w:rPr>
            <w:rFonts w:ascii="Times New Roman" w:hAnsi="Times New Roman"/>
            <w:i/>
            <w:color w:val="0E568C"/>
            <w:sz w:val="20"/>
          </w:rPr>
          <w:t xml:space="preserve"> v City of Sterling Heights</w:t>
        </w:r>
        <w:r>
          <w:rPr>
            <w:rFonts w:ascii="Times New Roman" w:hAnsi="Times New Roman"/>
            <w:color w:val="0E568C"/>
            <w:sz w:val="20"/>
          </w:rPr>
          <w:t xml:space="preserve">, 296 </w:t>
        </w:r>
        <w:proofErr w:type="spellStart"/>
        <w:r>
          <w:rPr>
            <w:rFonts w:ascii="Times New Roman" w:hAnsi="Times New Roman"/>
            <w:color w:val="0E568C"/>
            <w:sz w:val="20"/>
          </w:rPr>
          <w:t>Mich</w:t>
        </w:r>
        <w:proofErr w:type="spellEnd"/>
        <w:r>
          <w:rPr>
            <w:rFonts w:ascii="Times New Roman" w:hAnsi="Times New Roman"/>
            <w:color w:val="0E568C"/>
            <w:sz w:val="20"/>
          </w:rPr>
          <w:t xml:space="preserve"> App 387, 391, 822 N.W.2d 799 (2012</w:t>
        </w:r>
        <w:r>
          <w:rPr>
            <w:rFonts w:ascii="Times New Roman" w:hAnsi="Times New Roman"/>
            <w:color w:val="0E568C"/>
            <w:sz w:val="20"/>
          </w:rPr>
          <w:t>)</w:t>
        </w:r>
      </w:hyperlink>
      <w:r>
        <w:rPr>
          <w:rFonts w:ascii="Times New Roman" w:hAnsi="Times New Roman"/>
          <w:color w:val="000000"/>
          <w:sz w:val="20"/>
        </w:rPr>
        <w:t xml:space="preserve">. We consider all documentary evidence in a light most favorable to the nonmoving party under </w:t>
      </w:r>
      <w:hyperlink r:id="rId23">
        <w:r>
          <w:rPr>
            <w:rFonts w:ascii="Times New Roman" w:hAnsi="Times New Roman"/>
            <w:color w:val="0E568C"/>
            <w:sz w:val="20"/>
          </w:rPr>
          <w:t>MCR 2.116(C)(7)</w:t>
        </w:r>
      </w:hyperlink>
      <w:r>
        <w:rPr>
          <w:rFonts w:ascii="Times New Roman" w:hAnsi="Times New Roman"/>
          <w:color w:val="000000"/>
          <w:sz w:val="20"/>
        </w:rPr>
        <w:t xml:space="preserve">. </w:t>
      </w:r>
      <w:hyperlink r:id="rId24">
        <w:r>
          <w:rPr>
            <w:rFonts w:ascii="Times New Roman" w:hAnsi="Times New Roman"/>
            <w:i/>
            <w:color w:val="0E568C"/>
            <w:sz w:val="20"/>
          </w:rPr>
          <w:t>Id.</w:t>
        </w:r>
      </w:hyperlink>
      <w:r>
        <w:rPr>
          <w:rFonts w:ascii="Times New Roman" w:hAnsi="Times New Roman"/>
          <w:color w:val="000000"/>
          <w:sz w:val="20"/>
        </w:rPr>
        <w:t xml:space="preserve"> “If there is no factual dispute, whether a plaintiff's claim is barred under a principle set forth in </w:t>
      </w:r>
      <w:hyperlink r:id="rId25">
        <w:r>
          <w:rPr>
            <w:rFonts w:ascii="Times New Roman" w:hAnsi="Times New Roman"/>
            <w:color w:val="0E568C"/>
            <w:sz w:val="20"/>
          </w:rPr>
          <w:t>MCR 2.116(C)(7)</w:t>
        </w:r>
      </w:hyperlink>
      <w:r>
        <w:rPr>
          <w:rFonts w:ascii="Times New Roman" w:hAnsi="Times New Roman"/>
          <w:color w:val="000000"/>
          <w:sz w:val="20"/>
        </w:rPr>
        <w:t xml:space="preserve"> is a question of law for the court to decide.” </w:t>
      </w:r>
      <w:hyperlink r:id="rId26">
        <w:r>
          <w:rPr>
            <w:rFonts w:ascii="Times New Roman" w:hAnsi="Times New Roman"/>
            <w:i/>
            <w:color w:val="0E568C"/>
            <w:sz w:val="20"/>
          </w:rPr>
          <w:t>Id.</w:t>
        </w:r>
      </w:hyperlink>
      <w:r>
        <w:rPr>
          <w:rFonts w:ascii="Times New Roman" w:hAnsi="Times New Roman"/>
          <w:color w:val="000000"/>
          <w:sz w:val="20"/>
        </w:rPr>
        <w:t xml:space="preserve"> (cleaned up). “But when a relevant factual dispute does exist, summary disposition is not appropriate.” </w:t>
      </w:r>
      <w:hyperlink r:id="rId27">
        <w:r>
          <w:rPr>
            <w:rFonts w:ascii="Times New Roman" w:hAnsi="Times New Roman"/>
            <w:i/>
            <w:color w:val="0E568C"/>
            <w:sz w:val="20"/>
          </w:rPr>
          <w:t>Id.</w:t>
        </w:r>
      </w:hyperlink>
    </w:p>
    <w:p w14:paraId="3263CF45" w14:textId="77777777" w:rsidR="006F7663" w:rsidRDefault="007A743B">
      <w:pPr>
        <w:spacing w:after="0" w:line="275" w:lineRule="atLeast"/>
        <w:jc w:val="both"/>
      </w:pPr>
      <w:r>
        <w:rPr>
          <w:rFonts w:ascii="Times New Roman" w:hAnsi="Times New Roman"/>
          <w:color w:val="000000"/>
          <w:sz w:val="20"/>
        </w:rPr>
        <w:t> </w:t>
      </w:r>
    </w:p>
    <w:p w14:paraId="3A1363E8" w14:textId="77777777" w:rsidR="006F7663" w:rsidRDefault="007A743B">
      <w:pPr>
        <w:spacing w:after="0" w:line="275" w:lineRule="atLeast"/>
        <w:jc w:val="both"/>
      </w:pPr>
      <w:r>
        <w:rPr>
          <w:rFonts w:ascii="Times New Roman" w:hAnsi="Times New Roman"/>
          <w:color w:val="000000"/>
          <w:sz w:val="20"/>
        </w:rPr>
        <w:t xml:space="preserve">When reviewing a motion for summary disposition </w:t>
      </w:r>
      <w:r>
        <w:rPr>
          <w:rFonts w:ascii="Times New Roman" w:hAnsi="Times New Roman"/>
          <w:color w:val="000000"/>
          <w:sz w:val="20"/>
        </w:rPr>
        <w:t xml:space="preserve">under </w:t>
      </w:r>
      <w:hyperlink r:id="rId28">
        <w:r>
          <w:rPr>
            <w:rFonts w:ascii="Times New Roman" w:hAnsi="Times New Roman"/>
            <w:color w:val="0E568C"/>
            <w:sz w:val="20"/>
          </w:rPr>
          <w:t>MCR 2.116(C)(10)</w:t>
        </w:r>
      </w:hyperlink>
      <w:r>
        <w:rPr>
          <w:rFonts w:ascii="Times New Roman" w:hAnsi="Times New Roman"/>
          <w:color w:val="000000"/>
          <w:sz w:val="20"/>
        </w:rPr>
        <w:t xml:space="preserve">, we must consider the evidence submitted by the parties in the light most favorable to the non-moving party. </w:t>
      </w:r>
      <w:hyperlink r:id="rId29" w:anchor="co_pp_sp_542_160">
        <w:r>
          <w:rPr>
            <w:rFonts w:ascii="Times New Roman" w:hAnsi="Times New Roman"/>
            <w:i/>
            <w:color w:val="0E568C"/>
            <w:sz w:val="20"/>
          </w:rPr>
          <w:t>El-Khalil</w:t>
        </w:r>
        <w:r>
          <w:rPr>
            <w:rFonts w:ascii="Times New Roman" w:hAnsi="Times New Roman"/>
            <w:color w:val="0E568C"/>
            <w:sz w:val="20"/>
          </w:rPr>
          <w:t>, 504 Mich. at 160, 934 N.W.2d 665</w:t>
        </w:r>
      </w:hyperlink>
      <w:r>
        <w:rPr>
          <w:rFonts w:ascii="Times New Roman" w:hAnsi="Times New Roman"/>
          <w:color w:val="000000"/>
          <w:sz w:val="20"/>
        </w:rPr>
        <w:t xml:space="preserve">. If there </w:t>
      </w:r>
      <w:r>
        <w:rPr>
          <w:rFonts w:ascii="Times New Roman" w:hAnsi="Times New Roman"/>
          <w:color w:val="000000"/>
          <w:sz w:val="20"/>
        </w:rPr>
        <w:t xml:space="preserve">is a genuine issue of material fact, dismissal is inappropriate. </w:t>
      </w:r>
      <w:hyperlink r:id="rId30">
        <w:r>
          <w:rPr>
            <w:rFonts w:ascii="Times New Roman" w:hAnsi="Times New Roman"/>
            <w:i/>
            <w:color w:val="0E568C"/>
            <w:sz w:val="20"/>
          </w:rPr>
          <w:t>Id.</w:t>
        </w:r>
      </w:hyperlink>
      <w:r>
        <w:rPr>
          <w:rFonts w:ascii="Times New Roman" w:hAnsi="Times New Roman"/>
          <w:color w:val="000000"/>
          <w:sz w:val="20"/>
        </w:rPr>
        <w:t xml:space="preserve"> “A genuine issue of material fact exists when the record leaves open an issue upon which reasonable </w:t>
      </w:r>
      <w:r>
        <w:rPr>
          <w:rFonts w:ascii="Times New Roman" w:hAnsi="Times New Roman"/>
          <w:color w:val="000000"/>
          <w:sz w:val="20"/>
        </w:rPr>
        <w:lastRenderedPageBreak/>
        <w:t xml:space="preserve">minds might differ.” </w:t>
      </w:r>
      <w:hyperlink r:id="rId31">
        <w:r>
          <w:rPr>
            <w:rFonts w:ascii="Times New Roman" w:hAnsi="Times New Roman"/>
            <w:i/>
            <w:color w:val="0E568C"/>
            <w:sz w:val="20"/>
          </w:rPr>
          <w:t>Id.</w:t>
        </w:r>
      </w:hyperlink>
      <w:r>
        <w:rPr>
          <w:rFonts w:ascii="Times New Roman" w:hAnsi="Times New Roman"/>
          <w:color w:val="000000"/>
          <w:sz w:val="20"/>
        </w:rPr>
        <w:t xml:space="preserve"> (cleaned up). But we are “not permitted to assess credibility, or to determine facts” in analyzing whether a genuine issue of material fact exists. </w:t>
      </w:r>
      <w:hyperlink r:id="rId32" w:anchor="co_pp_sp_542_161">
        <w:r>
          <w:rPr>
            <w:rFonts w:ascii="Times New Roman" w:hAnsi="Times New Roman"/>
            <w:i/>
            <w:color w:val="0E568C"/>
            <w:sz w:val="20"/>
          </w:rPr>
          <w:t>Skinner v Square D Co</w:t>
        </w:r>
        <w:r>
          <w:rPr>
            <w:rFonts w:ascii="Times New Roman" w:hAnsi="Times New Roman"/>
            <w:color w:val="0E568C"/>
            <w:sz w:val="20"/>
          </w:rPr>
          <w:t>, 445 Mich. 153, 161, 516 N.W.2</w:t>
        </w:r>
        <w:r>
          <w:rPr>
            <w:rFonts w:ascii="Times New Roman" w:hAnsi="Times New Roman"/>
            <w:color w:val="0E568C"/>
            <w:sz w:val="20"/>
          </w:rPr>
          <w:t>d 475 (1994)</w:t>
        </w:r>
      </w:hyperlink>
      <w:r>
        <w:rPr>
          <w:rFonts w:ascii="Times New Roman" w:hAnsi="Times New Roman"/>
          <w:color w:val="000000"/>
          <w:sz w:val="20"/>
        </w:rPr>
        <w:t xml:space="preserve">. “Instead, the court's task is to review the record evidence, and all reasonable inferences therefrom, and decide whether a genuine issue of any material fact exists to warrant a trial.” </w:t>
      </w:r>
      <w:hyperlink r:id="rId33">
        <w:r>
          <w:rPr>
            <w:rFonts w:ascii="Times New Roman" w:hAnsi="Times New Roman"/>
            <w:i/>
            <w:color w:val="0E568C"/>
            <w:sz w:val="20"/>
          </w:rPr>
          <w:t>Id.</w:t>
        </w:r>
      </w:hyperlink>
    </w:p>
    <w:p w14:paraId="14EC8CF5" w14:textId="77777777" w:rsidR="006F7663" w:rsidRDefault="007A743B">
      <w:pPr>
        <w:spacing w:after="0" w:line="275" w:lineRule="atLeast"/>
        <w:jc w:val="both"/>
      </w:pPr>
      <w:r>
        <w:rPr>
          <w:rFonts w:ascii="Times New Roman" w:hAnsi="Times New Roman"/>
          <w:color w:val="000000"/>
          <w:sz w:val="20"/>
        </w:rPr>
        <w:t> </w:t>
      </w:r>
    </w:p>
    <w:p w14:paraId="51E84608" w14:textId="77777777" w:rsidR="006F7663" w:rsidRDefault="007A743B">
      <w:pPr>
        <w:spacing w:before="400" w:after="0" w:line="275" w:lineRule="atLeast"/>
        <w:jc w:val="center"/>
      </w:pPr>
      <w:bookmarkStart w:id="12" w:name="co_anchor_I48ceb6b1c41811ee8e6fc8980681"/>
      <w:r>
        <w:rPr>
          <w:rFonts w:ascii="Times New Roman" w:hAnsi="Times New Roman"/>
          <w:color w:val="000000"/>
          <w:sz w:val="20"/>
        </w:rPr>
        <w:t>B. PRINCIPLES OF LAW</w:t>
      </w:r>
    </w:p>
    <w:bookmarkEnd w:id="12"/>
    <w:p w14:paraId="56D36F21" w14:textId="77777777" w:rsidR="006F7663" w:rsidRDefault="007A743B">
      <w:pPr>
        <w:spacing w:before="200" w:after="0" w:line="275" w:lineRule="atLeast"/>
        <w:jc w:val="both"/>
      </w:pPr>
      <w:r>
        <w:rPr>
          <w:rFonts w:ascii="Times New Roman" w:hAnsi="Times New Roman"/>
          <w:color w:val="000000"/>
          <w:sz w:val="20"/>
        </w:rPr>
        <w:t xml:space="preserve">The GTLA grants </w:t>
      </w:r>
      <w:r>
        <w:rPr>
          <w:rFonts w:ascii="Times New Roman" w:hAnsi="Times New Roman"/>
          <w:color w:val="000000"/>
          <w:sz w:val="20"/>
        </w:rPr>
        <w:t xml:space="preserve">a governmental agency immunity from tort liability if the agency was engaged in the exercise or discharge of a governmental function, subject to certain enumerated exceptions. </w:t>
      </w:r>
      <w:hyperlink r:id="rId34" w:anchor="co_pp_f1c50000821b0">
        <w:r>
          <w:rPr>
            <w:rFonts w:ascii="Times New Roman" w:hAnsi="Times New Roman"/>
            <w:color w:val="0E568C"/>
            <w:sz w:val="20"/>
          </w:rPr>
          <w:t>MCL 691.1407(1)</w:t>
        </w:r>
      </w:hyperlink>
      <w:r>
        <w:rPr>
          <w:rFonts w:ascii="Times New Roman" w:hAnsi="Times New Roman"/>
          <w:color w:val="000000"/>
          <w:sz w:val="20"/>
        </w:rPr>
        <w:t xml:space="preserve">; </w:t>
      </w:r>
      <w:hyperlink r:id="rId35" w:anchor="co_pp_sp_542_473">
        <w:proofErr w:type="spellStart"/>
        <w:r>
          <w:rPr>
            <w:rFonts w:ascii="Times New Roman" w:hAnsi="Times New Roman"/>
            <w:i/>
            <w:color w:val="0E568C"/>
            <w:sz w:val="20"/>
          </w:rPr>
          <w:t>Bernardoni</w:t>
        </w:r>
        <w:proofErr w:type="spellEnd"/>
        <w:r>
          <w:rPr>
            <w:rFonts w:ascii="Times New Roman" w:hAnsi="Times New Roman"/>
            <w:i/>
            <w:color w:val="0E568C"/>
            <w:sz w:val="20"/>
          </w:rPr>
          <w:t xml:space="preserve"> v City of Saginaw</w:t>
        </w:r>
        <w:r>
          <w:rPr>
            <w:rFonts w:ascii="Times New Roman" w:hAnsi="Times New Roman"/>
            <w:color w:val="0E568C"/>
            <w:sz w:val="20"/>
          </w:rPr>
          <w:t>, 499 Mich. 470, 473, 886 N.W.2d 109 (2016)</w:t>
        </w:r>
      </w:hyperlink>
      <w:r>
        <w:rPr>
          <w:rFonts w:ascii="Times New Roman" w:hAnsi="Times New Roman"/>
          <w:color w:val="000000"/>
          <w:sz w:val="20"/>
        </w:rPr>
        <w:t xml:space="preserve">. One such exception is the “highway exception” under </w:t>
      </w:r>
      <w:hyperlink r:id="rId36">
        <w:r>
          <w:rPr>
            <w:rFonts w:ascii="Times New Roman" w:hAnsi="Times New Roman"/>
            <w:color w:val="0E568C"/>
            <w:sz w:val="20"/>
          </w:rPr>
          <w:t>MCL 691.1402</w:t>
        </w:r>
      </w:hyperlink>
      <w:r>
        <w:rPr>
          <w:rFonts w:ascii="Times New Roman" w:hAnsi="Times New Roman"/>
          <w:color w:val="000000"/>
          <w:sz w:val="20"/>
        </w:rPr>
        <w:t>, which provides that a plaintiff may recover damages “resulting from a muni</w:t>
      </w:r>
      <w:r>
        <w:rPr>
          <w:rFonts w:ascii="Times New Roman" w:hAnsi="Times New Roman"/>
          <w:color w:val="000000"/>
          <w:sz w:val="20"/>
        </w:rPr>
        <w:t xml:space="preserve">cipality's failure to keep highways—including sidewalks—in reasonable repair and in a condition reasonably safe and fit for travel.” </w:t>
      </w:r>
      <w:hyperlink r:id="rId37" w:anchor="co_pp_sp_542_473">
        <w:proofErr w:type="spellStart"/>
        <w:r>
          <w:rPr>
            <w:rFonts w:ascii="Times New Roman" w:hAnsi="Times New Roman"/>
            <w:i/>
            <w:color w:val="0E568C"/>
            <w:sz w:val="20"/>
          </w:rPr>
          <w:t>Bernardoni</w:t>
        </w:r>
        <w:proofErr w:type="spellEnd"/>
        <w:r>
          <w:rPr>
            <w:rFonts w:ascii="Times New Roman" w:hAnsi="Times New Roman"/>
            <w:color w:val="0E568C"/>
            <w:sz w:val="20"/>
          </w:rPr>
          <w:t>, 499 Mich. at 473, 886 N.W.2d 109</w:t>
        </w:r>
      </w:hyperlink>
      <w:r>
        <w:rPr>
          <w:rFonts w:ascii="Times New Roman" w:hAnsi="Times New Roman"/>
          <w:color w:val="000000"/>
          <w:sz w:val="20"/>
        </w:rPr>
        <w:t xml:space="preserve"> (cleaned up). A municip</w:t>
      </w:r>
      <w:r>
        <w:rPr>
          <w:rFonts w:ascii="Times New Roman" w:hAnsi="Times New Roman"/>
          <w:color w:val="000000"/>
          <w:sz w:val="20"/>
        </w:rPr>
        <w:t xml:space="preserve">ality has a duty to “maintain [a] sidewalk in reasonable repair.” </w:t>
      </w:r>
      <w:hyperlink r:id="rId38" w:anchor="co_pp_f1c50000821b0">
        <w:r>
          <w:rPr>
            <w:rFonts w:ascii="Times New Roman" w:hAnsi="Times New Roman"/>
            <w:color w:val="0E568C"/>
            <w:sz w:val="20"/>
          </w:rPr>
          <w:t>MCL 691.1402a(1)</w:t>
        </w:r>
      </w:hyperlink>
      <w:r>
        <w:rPr>
          <w:rFonts w:ascii="Times New Roman" w:hAnsi="Times New Roman"/>
          <w:color w:val="000000"/>
          <w:sz w:val="20"/>
        </w:rPr>
        <w:t>. And it can be held liable for breaching that duty if the plaintiff “proves that at least 30 days before the occurrence ... the munici</w:t>
      </w:r>
      <w:r>
        <w:rPr>
          <w:rFonts w:ascii="Times New Roman" w:hAnsi="Times New Roman"/>
          <w:color w:val="000000"/>
          <w:sz w:val="20"/>
        </w:rPr>
        <w:t xml:space="preserve">pal corporation knew or, in the exercise of reasonable diligence, should have known of the existence of the defect in the sidewalk.” </w:t>
      </w:r>
      <w:hyperlink r:id="rId39" w:anchor="co_pp_58730000872b1">
        <w:r>
          <w:rPr>
            <w:rFonts w:ascii="Times New Roman" w:hAnsi="Times New Roman"/>
            <w:color w:val="0E568C"/>
            <w:sz w:val="20"/>
          </w:rPr>
          <w:t>MCL 691.1402a(2)</w:t>
        </w:r>
      </w:hyperlink>
      <w:r>
        <w:rPr>
          <w:rFonts w:ascii="Times New Roman" w:hAnsi="Times New Roman"/>
          <w:color w:val="000000"/>
          <w:sz w:val="20"/>
        </w:rPr>
        <w:t>. A municipality is “presumed to have maintained the sidewalk in rea</w:t>
      </w:r>
      <w:r>
        <w:rPr>
          <w:rFonts w:ascii="Times New Roman" w:hAnsi="Times New Roman"/>
          <w:color w:val="000000"/>
          <w:sz w:val="20"/>
        </w:rPr>
        <w:t xml:space="preserve">sonable repair.” </w:t>
      </w:r>
      <w:hyperlink r:id="rId40" w:anchor="co_pp_d08f0000f5f67">
        <w:r>
          <w:rPr>
            <w:rFonts w:ascii="Times New Roman" w:hAnsi="Times New Roman"/>
            <w:color w:val="0E568C"/>
            <w:sz w:val="20"/>
          </w:rPr>
          <w:t>MCL 691.1402a(3)</w:t>
        </w:r>
      </w:hyperlink>
      <w:r>
        <w:rPr>
          <w:rFonts w:ascii="Times New Roman" w:hAnsi="Times New Roman"/>
          <w:color w:val="000000"/>
          <w:sz w:val="20"/>
        </w:rPr>
        <w:t>. But that statutory presumption may be rebutted if the plaintiff shows that a proximate cause of the injury was one or both of the following:</w:t>
      </w:r>
    </w:p>
    <w:p w14:paraId="085B371C" w14:textId="77777777" w:rsidR="006F7663" w:rsidRDefault="007A743B">
      <w:pPr>
        <w:spacing w:before="200" w:after="0" w:line="275" w:lineRule="atLeast"/>
        <w:ind w:left="200"/>
        <w:jc w:val="both"/>
      </w:pPr>
      <w:r>
        <w:rPr>
          <w:rFonts w:ascii="Times New Roman" w:hAnsi="Times New Roman"/>
          <w:color w:val="000000"/>
          <w:sz w:val="20"/>
        </w:rPr>
        <w:t xml:space="preserve">(a) A vertical discontinuity defect of 2 </w:t>
      </w:r>
      <w:r>
        <w:rPr>
          <w:rFonts w:ascii="Times New Roman" w:hAnsi="Times New Roman"/>
          <w:color w:val="000000"/>
          <w:sz w:val="20"/>
        </w:rPr>
        <w:t>inches or more in the sidewalk.</w:t>
      </w:r>
    </w:p>
    <w:p w14:paraId="2E5DD2CA" w14:textId="77777777" w:rsidR="006F7663" w:rsidRDefault="007A743B">
      <w:pPr>
        <w:spacing w:before="200" w:after="0" w:line="275" w:lineRule="atLeast"/>
        <w:ind w:left="200"/>
        <w:jc w:val="both"/>
      </w:pPr>
      <w:r>
        <w:rPr>
          <w:rFonts w:ascii="Times New Roman" w:hAnsi="Times New Roman"/>
          <w:color w:val="000000"/>
          <w:sz w:val="20"/>
        </w:rPr>
        <w:t xml:space="preserve">(b) A dangerous condition in the sidewalk itself of a </w:t>
      </w:r>
      <w:proofErr w:type="gramStart"/>
      <w:r>
        <w:rPr>
          <w:rFonts w:ascii="Times New Roman" w:hAnsi="Times New Roman"/>
          <w:color w:val="000000"/>
          <w:sz w:val="20"/>
        </w:rPr>
        <w:t>particular character</w:t>
      </w:r>
      <w:proofErr w:type="gramEnd"/>
      <w:r>
        <w:rPr>
          <w:rFonts w:ascii="Times New Roman" w:hAnsi="Times New Roman"/>
          <w:color w:val="000000"/>
          <w:sz w:val="20"/>
        </w:rPr>
        <w:t xml:space="preserve"> other than solely a vertical discontinuity. [</w:t>
      </w:r>
      <w:hyperlink r:id="rId41" w:anchor="co_pp_d08f0000f5f67">
        <w:r>
          <w:rPr>
            <w:rFonts w:ascii="Times New Roman" w:hAnsi="Times New Roman"/>
            <w:color w:val="0E568C"/>
            <w:sz w:val="20"/>
          </w:rPr>
          <w:t>MCL 691.1402a(3)</w:t>
        </w:r>
      </w:hyperlink>
      <w:r>
        <w:rPr>
          <w:rFonts w:ascii="Times New Roman" w:hAnsi="Times New Roman"/>
          <w:color w:val="000000"/>
          <w:sz w:val="20"/>
        </w:rPr>
        <w:t>.]</w:t>
      </w:r>
    </w:p>
    <w:p w14:paraId="606C49E6" w14:textId="77777777" w:rsidR="006F7663" w:rsidRDefault="007A743B">
      <w:pPr>
        <w:spacing w:after="0" w:line="275" w:lineRule="atLeast"/>
        <w:jc w:val="both"/>
      </w:pPr>
      <w:r>
        <w:rPr>
          <w:rFonts w:ascii="Times New Roman" w:hAnsi="Times New Roman"/>
          <w:color w:val="000000"/>
          <w:sz w:val="20"/>
        </w:rPr>
        <w:t> </w:t>
      </w:r>
    </w:p>
    <w:p w14:paraId="355BF770" w14:textId="77777777" w:rsidR="006F7663" w:rsidRDefault="007A743B">
      <w:pPr>
        <w:spacing w:after="0" w:line="275" w:lineRule="atLeast"/>
        <w:jc w:val="both"/>
      </w:pPr>
      <w:r>
        <w:rPr>
          <w:rFonts w:ascii="Times New Roman" w:hAnsi="Times New Roman"/>
          <w:color w:val="000000"/>
          <w:sz w:val="20"/>
        </w:rPr>
        <w:t>The GTLA provides that municipalities may as</w:t>
      </w:r>
      <w:r>
        <w:rPr>
          <w:rFonts w:ascii="Times New Roman" w:hAnsi="Times New Roman"/>
          <w:color w:val="000000"/>
          <w:sz w:val="20"/>
        </w:rPr>
        <w:t xml:space="preserve">sert “any defense available under the common law with respect to a </w:t>
      </w:r>
      <w:r>
        <w:rPr>
          <w:rFonts w:ascii="Times New Roman" w:hAnsi="Times New Roman"/>
          <w:color w:val="000000"/>
          <w:sz w:val="20"/>
        </w:rPr>
        <w:t xml:space="preserve">premises liability claim, including, but not limited to, a defense that the condition was open and obvious. </w:t>
      </w:r>
      <w:hyperlink r:id="rId42" w:anchor="co_pp_362c000048fd7">
        <w:r>
          <w:rPr>
            <w:rFonts w:ascii="Times New Roman" w:hAnsi="Times New Roman"/>
            <w:color w:val="0E568C"/>
            <w:sz w:val="20"/>
          </w:rPr>
          <w:t>MCL 691.1402a(5)</w:t>
        </w:r>
      </w:hyperlink>
      <w:r>
        <w:rPr>
          <w:rFonts w:ascii="Times New Roman" w:hAnsi="Times New Roman"/>
          <w:color w:val="000000"/>
          <w:sz w:val="20"/>
        </w:rPr>
        <w:t>.</w:t>
      </w:r>
    </w:p>
    <w:p w14:paraId="24305955" w14:textId="77777777" w:rsidR="006F7663" w:rsidRDefault="007A743B">
      <w:pPr>
        <w:spacing w:after="0" w:line="275" w:lineRule="atLeast"/>
        <w:jc w:val="both"/>
      </w:pPr>
      <w:r>
        <w:rPr>
          <w:rFonts w:ascii="Times New Roman" w:hAnsi="Times New Roman"/>
          <w:color w:val="000000"/>
          <w:sz w:val="20"/>
        </w:rPr>
        <w:t> </w:t>
      </w:r>
    </w:p>
    <w:p w14:paraId="6DDFDCF4" w14:textId="77777777" w:rsidR="006F7663" w:rsidRDefault="007A743B">
      <w:pPr>
        <w:spacing w:before="400" w:after="0" w:line="275" w:lineRule="atLeast"/>
        <w:jc w:val="center"/>
      </w:pPr>
      <w:bookmarkStart w:id="13" w:name="co_anchor_I48d08b71c41811ee8e6fc8980681"/>
      <w:r>
        <w:rPr>
          <w:rFonts w:ascii="Times New Roman" w:hAnsi="Times New Roman"/>
          <w:color w:val="000000"/>
          <w:sz w:val="20"/>
        </w:rPr>
        <w:t>C. OPEN AND OBVIOUS</w:t>
      </w:r>
    </w:p>
    <w:bookmarkEnd w:id="13"/>
    <w:p w14:paraId="402C7CFE" w14:textId="77777777" w:rsidR="006F7663" w:rsidRDefault="007A743B">
      <w:pPr>
        <w:spacing w:before="200" w:after="0" w:line="275" w:lineRule="atLeast"/>
        <w:jc w:val="both"/>
      </w:pPr>
      <w:r>
        <w:rPr>
          <w:rFonts w:ascii="Times New Roman" w:hAnsi="Times New Roman"/>
          <w:color w:val="000000"/>
          <w:sz w:val="20"/>
        </w:rPr>
        <w:t>In</w:t>
      </w:r>
      <w:r>
        <w:rPr>
          <w:rFonts w:ascii="Times New Roman" w:hAnsi="Times New Roman"/>
          <w:color w:val="000000"/>
          <w:sz w:val="20"/>
        </w:rPr>
        <w:t xml:space="preserve"> this case, it is undisputed that the city had a duty under </w:t>
      </w:r>
      <w:hyperlink r:id="rId43" w:anchor="co_pp_b84a0000fd100">
        <w:r>
          <w:rPr>
            <w:rFonts w:ascii="Times New Roman" w:hAnsi="Times New Roman"/>
            <w:color w:val="0E568C"/>
            <w:sz w:val="20"/>
          </w:rPr>
          <w:t>MCL 691.1402a(3)(a)</w:t>
        </w:r>
      </w:hyperlink>
      <w:r>
        <w:rPr>
          <w:rFonts w:ascii="Times New Roman" w:hAnsi="Times New Roman"/>
          <w:color w:val="000000"/>
          <w:sz w:val="20"/>
        </w:rPr>
        <w:t xml:space="preserve"> to maintain its sidewalks in such a condition that a “vertical discontinuity defect of 2 inches or more” or a “dangerous condition” did not exist. It is further undisputed that the vertical discontinuity that caused Jimenez's injury was greater than four </w:t>
      </w:r>
      <w:r>
        <w:rPr>
          <w:rFonts w:ascii="Times New Roman" w:hAnsi="Times New Roman"/>
          <w:color w:val="000000"/>
          <w:sz w:val="20"/>
        </w:rPr>
        <w:t>inches. But the city asserts that its duty does not extend to an open and obvious condition such as the uneven sidewalk in this case.</w:t>
      </w:r>
    </w:p>
    <w:p w14:paraId="05C3FBF6" w14:textId="77777777" w:rsidR="006F7663" w:rsidRDefault="007A743B">
      <w:pPr>
        <w:spacing w:after="0" w:line="275" w:lineRule="atLeast"/>
        <w:jc w:val="both"/>
      </w:pPr>
      <w:r>
        <w:rPr>
          <w:rFonts w:ascii="Times New Roman" w:hAnsi="Times New Roman"/>
          <w:color w:val="000000"/>
          <w:sz w:val="20"/>
        </w:rPr>
        <w:t> </w:t>
      </w:r>
    </w:p>
    <w:p w14:paraId="4AA5BE1F" w14:textId="77777777" w:rsidR="006F7663" w:rsidRDefault="007A743B">
      <w:pPr>
        <w:spacing w:after="0" w:line="275" w:lineRule="atLeast"/>
        <w:jc w:val="both"/>
      </w:pPr>
      <w:bookmarkStart w:id="14" w:name="co_pp_sp_999_4_1"/>
      <w:r>
        <w:rPr>
          <w:rFonts w:ascii="Times New Roman" w:hAnsi="Times New Roman"/>
          <w:b/>
          <w:color w:val="000000"/>
          <w:sz w:val="20"/>
        </w:rPr>
        <w:t>*4</w:t>
      </w:r>
      <w:bookmarkEnd w:id="14"/>
      <w:r>
        <w:rPr>
          <w:rFonts w:ascii="Times New Roman" w:hAnsi="Times New Roman"/>
          <w:color w:val="000000"/>
          <w:sz w:val="20"/>
        </w:rPr>
        <w:t xml:space="preserve"> “Whether a danger is open and obvious depends on whether it is reasonable to expect that an average person with ordin</w:t>
      </w:r>
      <w:r>
        <w:rPr>
          <w:rFonts w:ascii="Times New Roman" w:hAnsi="Times New Roman"/>
          <w:color w:val="000000"/>
          <w:sz w:val="20"/>
        </w:rPr>
        <w:t xml:space="preserve">ary intelligence would have discovered it upon casual inspection.” </w:t>
      </w:r>
      <w:hyperlink r:id="rId44" w:anchor="co_pp_sp_542_461">
        <w:proofErr w:type="spellStart"/>
        <w:r>
          <w:rPr>
            <w:rFonts w:ascii="Times New Roman" w:hAnsi="Times New Roman"/>
            <w:i/>
            <w:color w:val="0E568C"/>
            <w:sz w:val="20"/>
          </w:rPr>
          <w:t>Hoffner</w:t>
        </w:r>
        <w:proofErr w:type="spellEnd"/>
        <w:r>
          <w:rPr>
            <w:rFonts w:ascii="Times New Roman" w:hAnsi="Times New Roman"/>
            <w:i/>
            <w:color w:val="0E568C"/>
            <w:sz w:val="20"/>
          </w:rPr>
          <w:t xml:space="preserve"> v </w:t>
        </w:r>
        <w:proofErr w:type="spellStart"/>
        <w:r>
          <w:rPr>
            <w:rFonts w:ascii="Times New Roman" w:hAnsi="Times New Roman"/>
            <w:i/>
            <w:color w:val="0E568C"/>
            <w:sz w:val="20"/>
          </w:rPr>
          <w:t>Lanctoe</w:t>
        </w:r>
        <w:proofErr w:type="spellEnd"/>
        <w:r>
          <w:rPr>
            <w:rFonts w:ascii="Times New Roman" w:hAnsi="Times New Roman"/>
            <w:color w:val="0E568C"/>
            <w:sz w:val="20"/>
          </w:rPr>
          <w:t>, 492 Mich. 450, 461, 821 N.W.2d 88 (2012)</w:t>
        </w:r>
      </w:hyperlink>
      <w:r>
        <w:rPr>
          <w:rFonts w:ascii="Times New Roman" w:hAnsi="Times New Roman"/>
          <w:color w:val="000000"/>
          <w:sz w:val="20"/>
        </w:rPr>
        <w:t xml:space="preserve">. This test is an objective one that requires an inquiry of “the objective </w:t>
      </w:r>
      <w:r>
        <w:rPr>
          <w:rFonts w:ascii="Times New Roman" w:hAnsi="Times New Roman"/>
          <w:color w:val="000000"/>
          <w:sz w:val="20"/>
        </w:rPr>
        <w:t xml:space="preserve">nature of the condition of the premises at issue.” </w:t>
      </w:r>
      <w:hyperlink r:id="rId45">
        <w:r>
          <w:rPr>
            <w:rFonts w:ascii="Times New Roman" w:hAnsi="Times New Roman"/>
            <w:i/>
            <w:color w:val="0E568C"/>
            <w:sz w:val="20"/>
          </w:rPr>
          <w:t>Id.</w:t>
        </w:r>
      </w:hyperlink>
      <w:r>
        <w:rPr>
          <w:rFonts w:ascii="Times New Roman" w:hAnsi="Times New Roman"/>
          <w:color w:val="000000"/>
          <w:sz w:val="20"/>
        </w:rPr>
        <w:t xml:space="preserve"> Michigan's “caselaw has been mired in ambiguities” as to whether the open and obvious danger doctrine is part of the analysis of the scope of a possessor's duty or whether it is part of th</w:t>
      </w:r>
      <w:r>
        <w:rPr>
          <w:rFonts w:ascii="Times New Roman" w:hAnsi="Times New Roman"/>
          <w:color w:val="000000"/>
          <w:sz w:val="20"/>
        </w:rPr>
        <w:t xml:space="preserve">e determination of a possessor's breach of duty. </w:t>
      </w:r>
      <w:proofErr w:type="spellStart"/>
      <w:r>
        <w:rPr>
          <w:rFonts w:ascii="Times New Roman" w:hAnsi="Times New Roman"/>
          <w:i/>
          <w:color w:val="000000"/>
          <w:sz w:val="20"/>
        </w:rPr>
        <w:t>Kandil-Elsayed</w:t>
      </w:r>
      <w:proofErr w:type="spellEnd"/>
      <w:r>
        <w:rPr>
          <w:rFonts w:ascii="Times New Roman" w:hAnsi="Times New Roman"/>
          <w:color w:val="000000"/>
          <w:sz w:val="20"/>
        </w:rPr>
        <w:t xml:space="preserve">, ––– </w:t>
      </w:r>
      <w:proofErr w:type="spellStart"/>
      <w:r>
        <w:rPr>
          <w:rFonts w:ascii="Times New Roman" w:hAnsi="Times New Roman"/>
          <w:color w:val="000000"/>
          <w:sz w:val="20"/>
        </w:rPr>
        <w:t>Mich</w:t>
      </w:r>
      <w:proofErr w:type="spellEnd"/>
      <w:r>
        <w:rPr>
          <w:rFonts w:ascii="Times New Roman" w:hAnsi="Times New Roman"/>
          <w:color w:val="000000"/>
          <w:sz w:val="20"/>
        </w:rPr>
        <w:t xml:space="preserve"> at –––– n 6; slip op. at 21 n 6. Aiming to set those ambiguities straight, our Supreme Court recently concluded that </w:t>
      </w:r>
      <w:hyperlink r:id="rId46">
        <w:r>
          <w:rPr>
            <w:rFonts w:ascii="Times New Roman" w:hAnsi="Times New Roman"/>
            <w:i/>
            <w:color w:val="0E568C"/>
            <w:sz w:val="20"/>
          </w:rPr>
          <w:t>Lugo</w:t>
        </w:r>
      </w:hyperlink>
      <w:r>
        <w:rPr>
          <w:rFonts w:ascii="Times New Roman" w:hAnsi="Times New Roman"/>
          <w:color w:val="000000"/>
          <w:sz w:val="20"/>
        </w:rPr>
        <w:t xml:space="preserve"> was wrongly decided. </w:t>
      </w:r>
      <w:r>
        <w:rPr>
          <w:rFonts w:ascii="Times New Roman" w:hAnsi="Times New Roman"/>
          <w:i/>
          <w:color w:val="000000"/>
          <w:sz w:val="20"/>
        </w:rPr>
        <w:t>Id.</w:t>
      </w:r>
      <w:r>
        <w:rPr>
          <w:rFonts w:ascii="Times New Roman" w:hAnsi="Times New Roman"/>
          <w:color w:val="000000"/>
          <w:sz w:val="20"/>
        </w:rPr>
        <w:t xml:space="preserve"> at ––––; slip op. at 2</w:t>
      </w:r>
      <w:r>
        <w:rPr>
          <w:rFonts w:ascii="Times New Roman" w:hAnsi="Times New Roman"/>
          <w:color w:val="000000"/>
          <w:sz w:val="20"/>
        </w:rPr>
        <w:t xml:space="preserve">. Rather than an aspect of duty, the </w:t>
      </w:r>
      <w:hyperlink r:id="rId47">
        <w:proofErr w:type="spellStart"/>
        <w:r>
          <w:rPr>
            <w:rFonts w:ascii="Times New Roman" w:hAnsi="Times New Roman"/>
            <w:i/>
            <w:color w:val="0E568C"/>
            <w:sz w:val="20"/>
          </w:rPr>
          <w:t>Kandil-Elsayed</w:t>
        </w:r>
        <w:proofErr w:type="spellEnd"/>
      </w:hyperlink>
      <w:r>
        <w:rPr>
          <w:rFonts w:ascii="Times New Roman" w:hAnsi="Times New Roman"/>
          <w:color w:val="000000"/>
          <w:sz w:val="20"/>
        </w:rPr>
        <w:t xml:space="preserve"> Court held that “the open and obvious nature of a condition is relevant to breach and the parties’ comparative fault.” </w:t>
      </w:r>
      <w:r>
        <w:rPr>
          <w:rFonts w:ascii="Times New Roman" w:hAnsi="Times New Roman"/>
          <w:i/>
          <w:color w:val="000000"/>
          <w:sz w:val="20"/>
        </w:rPr>
        <w:t>Id.</w:t>
      </w:r>
      <w:r>
        <w:rPr>
          <w:rFonts w:ascii="Times New Roman" w:hAnsi="Times New Roman"/>
          <w:color w:val="000000"/>
          <w:sz w:val="20"/>
        </w:rPr>
        <w:t xml:space="preserve"> at ––––; slip op. at 2. It is a factor for the jury to decide when d</w:t>
      </w:r>
      <w:r>
        <w:rPr>
          <w:rFonts w:ascii="Times New Roman" w:hAnsi="Times New Roman"/>
          <w:color w:val="000000"/>
          <w:sz w:val="20"/>
        </w:rPr>
        <w:t xml:space="preserve">etermining “whether reasonable care was employed.” </w:t>
      </w:r>
      <w:r>
        <w:rPr>
          <w:rFonts w:ascii="Times New Roman" w:hAnsi="Times New Roman"/>
          <w:i/>
          <w:color w:val="000000"/>
          <w:sz w:val="20"/>
        </w:rPr>
        <w:t>Id.</w:t>
      </w:r>
      <w:r>
        <w:rPr>
          <w:rFonts w:ascii="Times New Roman" w:hAnsi="Times New Roman"/>
          <w:color w:val="000000"/>
          <w:sz w:val="20"/>
        </w:rPr>
        <w:t xml:space="preserve"> at ––––; slip op. at 41. “As part of the breach inquiry, the fact-finder may consider, among other things, whether the condition was open and obvious and whether, despite its open and obvious nature, t</w:t>
      </w:r>
      <w:r>
        <w:rPr>
          <w:rFonts w:ascii="Times New Roman" w:hAnsi="Times New Roman"/>
          <w:color w:val="000000"/>
          <w:sz w:val="20"/>
        </w:rPr>
        <w:t xml:space="preserve">he land possessor should have anticipated harm to the invitee.” </w:t>
      </w:r>
      <w:r>
        <w:rPr>
          <w:rFonts w:ascii="Times New Roman" w:hAnsi="Times New Roman"/>
          <w:i/>
          <w:color w:val="000000"/>
          <w:sz w:val="20"/>
        </w:rPr>
        <w:t>Id.</w:t>
      </w:r>
      <w:r>
        <w:rPr>
          <w:rFonts w:ascii="Times New Roman" w:hAnsi="Times New Roman"/>
          <w:color w:val="000000"/>
          <w:sz w:val="20"/>
        </w:rPr>
        <w:t xml:space="preserve"> at ––––; slip op. at 44.</w:t>
      </w:r>
    </w:p>
    <w:p w14:paraId="537B761D" w14:textId="77777777" w:rsidR="006F7663" w:rsidRDefault="007A743B">
      <w:pPr>
        <w:spacing w:after="0" w:line="275" w:lineRule="atLeast"/>
        <w:jc w:val="both"/>
      </w:pPr>
      <w:r>
        <w:rPr>
          <w:rFonts w:ascii="Times New Roman" w:hAnsi="Times New Roman"/>
          <w:color w:val="000000"/>
          <w:sz w:val="20"/>
        </w:rPr>
        <w:t> </w:t>
      </w:r>
    </w:p>
    <w:p w14:paraId="426F21FC" w14:textId="77777777" w:rsidR="006F7663" w:rsidRDefault="007A743B">
      <w:pPr>
        <w:spacing w:after="0" w:line="275" w:lineRule="atLeast"/>
        <w:jc w:val="both"/>
      </w:pPr>
      <w:r>
        <w:rPr>
          <w:rFonts w:ascii="Times New Roman" w:hAnsi="Times New Roman"/>
          <w:color w:val="000000"/>
          <w:sz w:val="20"/>
        </w:rPr>
        <w:t xml:space="preserve">The </w:t>
      </w:r>
      <w:hyperlink r:id="rId48">
        <w:proofErr w:type="spellStart"/>
        <w:r>
          <w:rPr>
            <w:rFonts w:ascii="Times New Roman" w:hAnsi="Times New Roman"/>
            <w:i/>
            <w:color w:val="0E568C"/>
            <w:sz w:val="20"/>
          </w:rPr>
          <w:t>Kandil-Elsayed</w:t>
        </w:r>
        <w:proofErr w:type="spellEnd"/>
      </w:hyperlink>
      <w:r>
        <w:rPr>
          <w:rFonts w:ascii="Times New Roman" w:hAnsi="Times New Roman"/>
          <w:color w:val="000000"/>
          <w:sz w:val="20"/>
        </w:rPr>
        <w:t xml:space="preserve"> Court also expressly overruled the special-aspects doctrine, explaining that “when a land </w:t>
      </w:r>
      <w:r>
        <w:rPr>
          <w:rFonts w:ascii="Times New Roman" w:hAnsi="Times New Roman"/>
          <w:color w:val="000000"/>
          <w:sz w:val="20"/>
        </w:rPr>
        <w:lastRenderedPageBreak/>
        <w:t>possessor should anticipate the harm th</w:t>
      </w:r>
      <w:r>
        <w:rPr>
          <w:rFonts w:ascii="Times New Roman" w:hAnsi="Times New Roman"/>
          <w:color w:val="000000"/>
          <w:sz w:val="20"/>
        </w:rPr>
        <w:t>at results from an open and obvious co</w:t>
      </w:r>
      <w:bookmarkStart w:id="15" w:name="_GoBack"/>
      <w:bookmarkEnd w:id="15"/>
      <w:r>
        <w:rPr>
          <w:rFonts w:ascii="Times New Roman" w:hAnsi="Times New Roman"/>
          <w:color w:val="000000"/>
          <w:sz w:val="20"/>
        </w:rPr>
        <w:t xml:space="preserve">ndition, despite its obviousness, the possessor is not relieved of the duty of reasonable care.” </w:t>
      </w:r>
      <w:r>
        <w:rPr>
          <w:rFonts w:ascii="Times New Roman" w:hAnsi="Times New Roman"/>
          <w:i/>
          <w:color w:val="000000"/>
          <w:sz w:val="20"/>
        </w:rPr>
        <w:t>Id.</w:t>
      </w:r>
      <w:r>
        <w:rPr>
          <w:rFonts w:ascii="Times New Roman" w:hAnsi="Times New Roman"/>
          <w:color w:val="000000"/>
          <w:sz w:val="20"/>
        </w:rPr>
        <w:t xml:space="preserve"> at ––––; slip op. at 2. The Court further instructed that, “[r]</w:t>
      </w:r>
      <w:proofErr w:type="spellStart"/>
      <w:r>
        <w:rPr>
          <w:rFonts w:ascii="Times New Roman" w:hAnsi="Times New Roman"/>
          <w:color w:val="000000"/>
          <w:sz w:val="20"/>
        </w:rPr>
        <w:t>ather</w:t>
      </w:r>
      <w:proofErr w:type="spellEnd"/>
      <w:r>
        <w:rPr>
          <w:rFonts w:ascii="Times New Roman" w:hAnsi="Times New Roman"/>
          <w:color w:val="000000"/>
          <w:sz w:val="20"/>
        </w:rPr>
        <w:t xml:space="preserve"> than conduct a narrow analysis of whether an obv</w:t>
      </w:r>
      <w:r>
        <w:rPr>
          <w:rFonts w:ascii="Times New Roman" w:hAnsi="Times New Roman"/>
          <w:color w:val="000000"/>
          <w:sz w:val="20"/>
        </w:rPr>
        <w:t xml:space="preserve">ious danger is ‘effectively unavoidable’ or poses an ‘unreasonable risk of severe harm,’ the fact-finder should consider whether ‘the possessor should anticipate the harm despite such ... obviousness.’ </w:t>
      </w:r>
      <w:r>
        <w:rPr>
          <w:rFonts w:ascii="Times New Roman" w:hAnsi="Times New Roman"/>
          <w:i/>
          <w:color w:val="000000"/>
          <w:sz w:val="20"/>
        </w:rPr>
        <w:t>Id.</w:t>
      </w:r>
      <w:r>
        <w:rPr>
          <w:rFonts w:ascii="Times New Roman" w:hAnsi="Times New Roman"/>
          <w:color w:val="000000"/>
          <w:sz w:val="20"/>
        </w:rPr>
        <w:t xml:space="preserve"> at ––––; slip op. at 43, quoting 2 </w:t>
      </w:r>
      <w:hyperlink r:id="rId49">
        <w:r>
          <w:rPr>
            <w:rFonts w:ascii="Times New Roman" w:hAnsi="Times New Roman"/>
            <w:color w:val="0E568C"/>
            <w:sz w:val="20"/>
          </w:rPr>
          <w:t>Re</w:t>
        </w:r>
        <w:r>
          <w:rPr>
            <w:rFonts w:ascii="Times New Roman" w:hAnsi="Times New Roman"/>
            <w:color w:val="0E568C"/>
            <w:sz w:val="20"/>
          </w:rPr>
          <w:t>statement Torts, 2d, § 343A, p. 218</w:t>
        </w:r>
      </w:hyperlink>
      <w:r>
        <w:rPr>
          <w:rFonts w:ascii="Times New Roman" w:hAnsi="Times New Roman"/>
          <w:color w:val="000000"/>
          <w:sz w:val="20"/>
        </w:rPr>
        <w:t>.</w:t>
      </w:r>
    </w:p>
    <w:p w14:paraId="3C778628" w14:textId="77777777" w:rsidR="006F7663" w:rsidRDefault="007A743B">
      <w:pPr>
        <w:spacing w:after="0" w:line="275" w:lineRule="atLeast"/>
        <w:jc w:val="both"/>
      </w:pPr>
      <w:r>
        <w:rPr>
          <w:rFonts w:ascii="Times New Roman" w:hAnsi="Times New Roman"/>
          <w:color w:val="000000"/>
          <w:sz w:val="20"/>
        </w:rPr>
        <w:t> </w:t>
      </w:r>
    </w:p>
    <w:p w14:paraId="50627C8E" w14:textId="77777777" w:rsidR="006F7663" w:rsidRDefault="007A743B">
      <w:pPr>
        <w:spacing w:after="0" w:line="275" w:lineRule="atLeast"/>
        <w:jc w:val="both"/>
      </w:pPr>
      <w:r>
        <w:rPr>
          <w:rFonts w:ascii="Times New Roman" w:hAnsi="Times New Roman"/>
          <w:color w:val="000000"/>
          <w:sz w:val="20"/>
        </w:rPr>
        <w:t>The Court summarized its holding as follows:</w:t>
      </w:r>
    </w:p>
    <w:p w14:paraId="6D512D1F" w14:textId="77777777" w:rsidR="006F7663" w:rsidRDefault="007A743B">
      <w:pPr>
        <w:spacing w:before="200" w:after="0" w:line="275" w:lineRule="atLeast"/>
        <w:ind w:left="480" w:right="480"/>
        <w:jc w:val="both"/>
      </w:pPr>
      <w:r>
        <w:rPr>
          <w:rFonts w:ascii="Times New Roman" w:hAnsi="Times New Roman"/>
          <w:color w:val="000000"/>
          <w:sz w:val="20"/>
        </w:rPr>
        <w:t xml:space="preserve">[A] land possessor owes a duty to exercise reasonable care to protect invitees from an unreasonable risk of harm caused by a dangerous condition of the land. If the </w:t>
      </w:r>
      <w:r>
        <w:rPr>
          <w:rFonts w:ascii="Times New Roman" w:hAnsi="Times New Roman"/>
          <w:color w:val="000000"/>
          <w:sz w:val="20"/>
        </w:rPr>
        <w:t xml:space="preserve">plaintiff establishes that the land possessor owed plaintiff a duty, the next step in the inquiry is whether there was a breach of that duty.... As part of the breach inquiry, the </w:t>
      </w:r>
      <w:proofErr w:type="gramStart"/>
      <w:r>
        <w:rPr>
          <w:rFonts w:ascii="Times New Roman" w:hAnsi="Times New Roman"/>
          <w:color w:val="000000"/>
          <w:sz w:val="20"/>
        </w:rPr>
        <w:t>fact-finder</w:t>
      </w:r>
      <w:proofErr w:type="gramEnd"/>
      <w:r>
        <w:rPr>
          <w:rFonts w:ascii="Times New Roman" w:hAnsi="Times New Roman"/>
          <w:color w:val="000000"/>
          <w:sz w:val="20"/>
        </w:rPr>
        <w:t xml:space="preserve"> may consider, among other things, whether the condition was open</w:t>
      </w:r>
      <w:r>
        <w:rPr>
          <w:rFonts w:ascii="Times New Roman" w:hAnsi="Times New Roman"/>
          <w:color w:val="000000"/>
          <w:sz w:val="20"/>
        </w:rPr>
        <w:t xml:space="preserve"> and obvious and whether, despite its open and obvious nature, the land possessor should have anticipated harm to the invitee. If breach is shown, as well as causation and harm, then the jury should consider the plaintiff's comparative fault and reduce the</w:t>
      </w:r>
      <w:r>
        <w:rPr>
          <w:rFonts w:ascii="Times New Roman" w:hAnsi="Times New Roman"/>
          <w:color w:val="000000"/>
          <w:sz w:val="20"/>
        </w:rPr>
        <w:t xml:space="preserve"> plaintiff's damages accordingly. A determination of the plaintiff's comparative fault may also require consideration of the open and obvious nature of the hazard and the plaintiff's choice to confront it. [</w:t>
      </w:r>
      <w:r>
        <w:rPr>
          <w:rFonts w:ascii="Times New Roman" w:hAnsi="Times New Roman"/>
          <w:i/>
          <w:color w:val="000000"/>
          <w:sz w:val="20"/>
        </w:rPr>
        <w:t>Id.</w:t>
      </w:r>
      <w:r>
        <w:rPr>
          <w:rFonts w:ascii="Times New Roman" w:hAnsi="Times New Roman"/>
          <w:color w:val="000000"/>
          <w:sz w:val="20"/>
        </w:rPr>
        <w:t xml:space="preserve"> at ––––; slip op. at 43-44 (cleaned up).]</w:t>
      </w:r>
    </w:p>
    <w:p w14:paraId="5E3D00C9" w14:textId="77777777" w:rsidR="006F7663" w:rsidRDefault="007A743B">
      <w:pPr>
        <w:spacing w:after="0" w:line="275" w:lineRule="atLeast"/>
        <w:jc w:val="both"/>
      </w:pPr>
      <w:r>
        <w:rPr>
          <w:rFonts w:ascii="Times New Roman" w:hAnsi="Times New Roman"/>
          <w:color w:val="000000"/>
          <w:sz w:val="20"/>
        </w:rPr>
        <w:t> </w:t>
      </w:r>
    </w:p>
    <w:p w14:paraId="6554090B" w14:textId="77777777" w:rsidR="006F7663" w:rsidRDefault="007A743B">
      <w:pPr>
        <w:spacing w:after="0" w:line="275" w:lineRule="atLeast"/>
        <w:jc w:val="both"/>
      </w:pPr>
      <w:r>
        <w:rPr>
          <w:rFonts w:ascii="Times New Roman" w:hAnsi="Times New Roman"/>
          <w:color w:val="000000"/>
          <w:sz w:val="20"/>
        </w:rPr>
        <w:t>I</w:t>
      </w:r>
      <w:r>
        <w:rPr>
          <w:rFonts w:ascii="Times New Roman" w:hAnsi="Times New Roman"/>
          <w:color w:val="000000"/>
          <w:sz w:val="20"/>
        </w:rPr>
        <w:t>n this case, the trial court denied defendant's motion for summary disposition because it found that the four-inch height discontinuity between the sidewalk slabs was a special aspect that made the risk of harm unreasonable and thus the open and obvious do</w:t>
      </w:r>
      <w:r>
        <w:rPr>
          <w:rFonts w:ascii="Times New Roman" w:hAnsi="Times New Roman"/>
          <w:color w:val="000000"/>
          <w:sz w:val="20"/>
        </w:rPr>
        <w:t xml:space="preserve">ctrine did not apply. The trial court applied the now-overruled framework set forth by </w:t>
      </w:r>
      <w:hyperlink r:id="rId50">
        <w:r>
          <w:rPr>
            <w:rFonts w:ascii="Times New Roman" w:hAnsi="Times New Roman"/>
            <w:i/>
            <w:color w:val="0E568C"/>
            <w:sz w:val="20"/>
          </w:rPr>
          <w:t>Lugo</w:t>
        </w:r>
      </w:hyperlink>
      <w:r>
        <w:rPr>
          <w:rFonts w:ascii="Times New Roman" w:hAnsi="Times New Roman"/>
          <w:color w:val="000000"/>
          <w:sz w:val="20"/>
        </w:rPr>
        <w:t xml:space="preserve"> and its progeny to hold that the city owed Jimenez a duty of care. But under </w:t>
      </w:r>
      <w:hyperlink r:id="rId51">
        <w:proofErr w:type="spellStart"/>
        <w:r>
          <w:rPr>
            <w:rFonts w:ascii="Times New Roman" w:hAnsi="Times New Roman"/>
            <w:i/>
            <w:color w:val="0E568C"/>
            <w:sz w:val="20"/>
          </w:rPr>
          <w:t>Kandil-Elsayed</w:t>
        </w:r>
        <w:proofErr w:type="spellEnd"/>
      </w:hyperlink>
      <w:r>
        <w:rPr>
          <w:rFonts w:ascii="Times New Roman" w:hAnsi="Times New Roman"/>
          <w:color w:val="000000"/>
          <w:sz w:val="20"/>
        </w:rPr>
        <w:t xml:space="preserve">, whether the height differential was open and obvious is relevant to the issues of breach and comparative fault, not the determination of duty. </w:t>
      </w:r>
      <w:r>
        <w:rPr>
          <w:rFonts w:ascii="Times New Roman" w:hAnsi="Times New Roman"/>
          <w:color w:val="000000"/>
          <w:sz w:val="20"/>
        </w:rPr>
        <w:t xml:space="preserve">See </w:t>
      </w:r>
      <w:r>
        <w:rPr>
          <w:rFonts w:ascii="Times New Roman" w:hAnsi="Times New Roman"/>
          <w:i/>
          <w:color w:val="000000"/>
          <w:sz w:val="20"/>
        </w:rPr>
        <w:t>id.</w:t>
      </w:r>
      <w:r>
        <w:rPr>
          <w:rFonts w:ascii="Times New Roman" w:hAnsi="Times New Roman"/>
          <w:color w:val="000000"/>
          <w:sz w:val="20"/>
        </w:rPr>
        <w:t xml:space="preserve"> at ––––; slip op. at 43-44. And the </w:t>
      </w:r>
      <w:hyperlink r:id="rId52">
        <w:proofErr w:type="spellStart"/>
        <w:r>
          <w:rPr>
            <w:rFonts w:ascii="Times New Roman" w:hAnsi="Times New Roman"/>
            <w:i/>
            <w:color w:val="0E568C"/>
            <w:sz w:val="20"/>
          </w:rPr>
          <w:t>Kandil-Elsayed</w:t>
        </w:r>
        <w:proofErr w:type="spellEnd"/>
      </w:hyperlink>
      <w:r>
        <w:rPr>
          <w:rFonts w:ascii="Times New Roman" w:hAnsi="Times New Roman"/>
          <w:color w:val="000000"/>
          <w:sz w:val="20"/>
        </w:rPr>
        <w:t xml:space="preserve"> Court expressl</w:t>
      </w:r>
      <w:r>
        <w:rPr>
          <w:rFonts w:ascii="Times New Roman" w:hAnsi="Times New Roman"/>
          <w:color w:val="000000"/>
          <w:sz w:val="20"/>
        </w:rPr>
        <w:t xml:space="preserve">y overruled the special-aspects doctrine that the trial court relied on in denying the city's motion for summary disposition. </w:t>
      </w:r>
      <w:r>
        <w:rPr>
          <w:rFonts w:ascii="Times New Roman" w:hAnsi="Times New Roman"/>
          <w:i/>
          <w:color w:val="000000"/>
          <w:sz w:val="20"/>
        </w:rPr>
        <w:t>Id.</w:t>
      </w:r>
      <w:r>
        <w:rPr>
          <w:rFonts w:ascii="Times New Roman" w:hAnsi="Times New Roman"/>
          <w:color w:val="000000"/>
          <w:sz w:val="20"/>
        </w:rPr>
        <w:t xml:space="preserve"> at ––––; slip op. at 2. Because the legal framework has been significantly altered, we vacate the trial court's holding that t</w:t>
      </w:r>
      <w:r>
        <w:rPr>
          <w:rFonts w:ascii="Times New Roman" w:hAnsi="Times New Roman"/>
          <w:color w:val="000000"/>
          <w:sz w:val="20"/>
        </w:rPr>
        <w:t xml:space="preserve">he open and obvious doctrine does not apply and remand for further proceedings to apply the principles announced in </w:t>
      </w:r>
      <w:hyperlink r:id="rId53">
        <w:proofErr w:type="spellStart"/>
        <w:r>
          <w:rPr>
            <w:rFonts w:ascii="Times New Roman" w:hAnsi="Times New Roman"/>
            <w:i/>
            <w:color w:val="0E568C"/>
            <w:sz w:val="20"/>
          </w:rPr>
          <w:t>Kandil-Elsayed</w:t>
        </w:r>
        <w:proofErr w:type="spellEnd"/>
      </w:hyperlink>
      <w:r>
        <w:rPr>
          <w:rFonts w:ascii="Times New Roman" w:hAnsi="Times New Roman"/>
          <w:color w:val="000000"/>
          <w:sz w:val="20"/>
        </w:rPr>
        <w:t xml:space="preserve"> to the facts in this case. The parties should be afforded an opportunity to brief any issues resulting from the </w:t>
      </w:r>
      <w:r>
        <w:rPr>
          <w:rFonts w:ascii="Times New Roman" w:hAnsi="Times New Roman"/>
          <w:color w:val="000000"/>
          <w:sz w:val="20"/>
        </w:rPr>
        <w:t xml:space="preserve">changes to the legal framework occasioned by </w:t>
      </w:r>
      <w:hyperlink r:id="rId54">
        <w:proofErr w:type="spellStart"/>
        <w:r>
          <w:rPr>
            <w:rFonts w:ascii="Times New Roman" w:hAnsi="Times New Roman"/>
            <w:i/>
            <w:color w:val="0E568C"/>
            <w:sz w:val="20"/>
          </w:rPr>
          <w:t>Kandil-Elsayed</w:t>
        </w:r>
        <w:proofErr w:type="spellEnd"/>
      </w:hyperlink>
      <w:r>
        <w:rPr>
          <w:rFonts w:ascii="Times New Roman" w:hAnsi="Times New Roman"/>
          <w:color w:val="000000"/>
          <w:sz w:val="20"/>
        </w:rPr>
        <w:t>.</w:t>
      </w:r>
    </w:p>
    <w:p w14:paraId="63EBC5A8" w14:textId="77777777" w:rsidR="006F7663" w:rsidRDefault="007A743B">
      <w:pPr>
        <w:spacing w:after="0" w:line="275" w:lineRule="atLeast"/>
        <w:jc w:val="both"/>
      </w:pPr>
      <w:r>
        <w:rPr>
          <w:rFonts w:ascii="Times New Roman" w:hAnsi="Times New Roman"/>
          <w:color w:val="000000"/>
          <w:sz w:val="20"/>
        </w:rPr>
        <w:t> </w:t>
      </w:r>
    </w:p>
    <w:p w14:paraId="670AB5FD" w14:textId="77777777" w:rsidR="006F7663" w:rsidRDefault="007A743B">
      <w:pPr>
        <w:spacing w:before="400" w:after="0" w:line="275" w:lineRule="atLeast"/>
        <w:jc w:val="center"/>
      </w:pPr>
      <w:bookmarkStart w:id="16" w:name="co_anchor_I48d59481c41811ee8e6fc8980681"/>
      <w:r>
        <w:rPr>
          <w:rFonts w:ascii="Times New Roman" w:hAnsi="Times New Roman"/>
          <w:color w:val="000000"/>
          <w:sz w:val="20"/>
        </w:rPr>
        <w:t>D. CONSTRUCTIVE NOTICE</w:t>
      </w:r>
    </w:p>
    <w:bookmarkEnd w:id="16"/>
    <w:p w14:paraId="20F4A3B2" w14:textId="77777777" w:rsidR="006F7663" w:rsidRDefault="007A743B">
      <w:pPr>
        <w:spacing w:before="200" w:after="0" w:line="275" w:lineRule="atLeast"/>
        <w:jc w:val="both"/>
      </w:pPr>
      <w:r>
        <w:rPr>
          <w:rFonts w:ascii="Times New Roman" w:hAnsi="Times New Roman"/>
          <w:color w:val="000000"/>
          <w:sz w:val="20"/>
        </w:rPr>
        <w:t>The city also argues that the trial court erred in holding that there is a genuine issue of material fact whether the city had constructive notice of the une</w:t>
      </w:r>
      <w:r>
        <w:rPr>
          <w:rFonts w:ascii="Times New Roman" w:hAnsi="Times New Roman"/>
          <w:color w:val="000000"/>
          <w:sz w:val="20"/>
        </w:rPr>
        <w:t>ven sidewalk more than 30 days before Jimenez fell. We disagree.</w:t>
      </w:r>
    </w:p>
    <w:p w14:paraId="6438B602" w14:textId="77777777" w:rsidR="006F7663" w:rsidRDefault="007A743B">
      <w:pPr>
        <w:spacing w:after="0" w:line="275" w:lineRule="atLeast"/>
        <w:jc w:val="both"/>
      </w:pPr>
      <w:r>
        <w:rPr>
          <w:rFonts w:ascii="Times New Roman" w:hAnsi="Times New Roman"/>
          <w:color w:val="000000"/>
          <w:sz w:val="20"/>
        </w:rPr>
        <w:t> </w:t>
      </w:r>
    </w:p>
    <w:p w14:paraId="6EAB5C77" w14:textId="77777777" w:rsidR="006F7663" w:rsidRDefault="007A743B">
      <w:pPr>
        <w:spacing w:after="0" w:line="275" w:lineRule="atLeast"/>
        <w:jc w:val="both"/>
      </w:pPr>
      <w:bookmarkStart w:id="17" w:name="co_pp_sp_999_5_1"/>
      <w:r>
        <w:rPr>
          <w:rFonts w:ascii="Times New Roman" w:hAnsi="Times New Roman"/>
          <w:b/>
          <w:color w:val="000000"/>
          <w:sz w:val="20"/>
        </w:rPr>
        <w:t>*5</w:t>
      </w:r>
      <w:bookmarkEnd w:id="17"/>
      <w:r>
        <w:rPr>
          <w:rFonts w:ascii="Times New Roman" w:hAnsi="Times New Roman"/>
          <w:color w:val="000000"/>
          <w:sz w:val="20"/>
        </w:rPr>
        <w:t xml:space="preserve"> “A defendant is ‘conclusively presumed’ to have knowledge of the defect ‘when the defect existed so as to be readily apparent to an ordinarily observant person for a period of 30 days or</w:t>
      </w:r>
      <w:r>
        <w:rPr>
          <w:rFonts w:ascii="Times New Roman" w:hAnsi="Times New Roman"/>
          <w:color w:val="000000"/>
          <w:sz w:val="20"/>
        </w:rPr>
        <w:t xml:space="preserve"> longer before the injury took place.’ ” </w:t>
      </w:r>
      <w:hyperlink r:id="rId55" w:anchor="co_pp_sp_542_474">
        <w:proofErr w:type="spellStart"/>
        <w:r>
          <w:rPr>
            <w:rFonts w:ascii="Times New Roman" w:hAnsi="Times New Roman"/>
            <w:i/>
            <w:color w:val="0E568C"/>
            <w:sz w:val="20"/>
          </w:rPr>
          <w:t>Bernardoni</w:t>
        </w:r>
        <w:proofErr w:type="spellEnd"/>
        <w:r>
          <w:rPr>
            <w:rFonts w:ascii="Times New Roman" w:hAnsi="Times New Roman"/>
            <w:color w:val="0E568C"/>
            <w:sz w:val="20"/>
          </w:rPr>
          <w:t>, 499 Mich. at 474, 886 N.W.2d 109</w:t>
        </w:r>
      </w:hyperlink>
      <w:r>
        <w:rPr>
          <w:rFonts w:ascii="Times New Roman" w:hAnsi="Times New Roman"/>
          <w:color w:val="000000"/>
          <w:sz w:val="20"/>
        </w:rPr>
        <w:t xml:space="preserve">, quoting </w:t>
      </w:r>
      <w:hyperlink r:id="rId56">
        <w:r>
          <w:rPr>
            <w:rFonts w:ascii="Times New Roman" w:hAnsi="Times New Roman"/>
            <w:color w:val="0E568C"/>
            <w:sz w:val="20"/>
          </w:rPr>
          <w:t>MCL 691.1403</w:t>
        </w:r>
      </w:hyperlink>
      <w:r>
        <w:rPr>
          <w:rFonts w:ascii="Times New Roman" w:hAnsi="Times New Roman"/>
          <w:color w:val="000000"/>
          <w:sz w:val="20"/>
        </w:rPr>
        <w:t>. “Generally, the question of whether a street defect ... has existed a sufficien</w:t>
      </w:r>
      <w:r>
        <w:rPr>
          <w:rFonts w:ascii="Times New Roman" w:hAnsi="Times New Roman"/>
          <w:color w:val="000000"/>
          <w:sz w:val="20"/>
        </w:rPr>
        <w:t xml:space="preserve">t length of time and under such circumstances that the municipality is deemed to have notice is a question of fact, and not a question of law.” </w:t>
      </w:r>
      <w:hyperlink r:id="rId57" w:anchor="co_pp_sp_542_474">
        <w:proofErr w:type="spellStart"/>
        <w:r>
          <w:rPr>
            <w:rFonts w:ascii="Times New Roman" w:hAnsi="Times New Roman"/>
            <w:i/>
            <w:color w:val="0E568C"/>
            <w:sz w:val="20"/>
          </w:rPr>
          <w:t>Bernardoni</w:t>
        </w:r>
        <w:proofErr w:type="spellEnd"/>
        <w:r>
          <w:rPr>
            <w:rFonts w:ascii="Times New Roman" w:hAnsi="Times New Roman"/>
            <w:color w:val="0E568C"/>
            <w:sz w:val="20"/>
          </w:rPr>
          <w:t>, 499 Mich. at 474, 886 N.W.2d 109</w:t>
        </w:r>
      </w:hyperlink>
      <w:r>
        <w:rPr>
          <w:rFonts w:ascii="Times New Roman" w:hAnsi="Times New Roman"/>
          <w:color w:val="000000"/>
          <w:sz w:val="20"/>
        </w:rPr>
        <w:t xml:space="preserve"> (cleaned up)</w:t>
      </w:r>
      <w:r>
        <w:rPr>
          <w:rFonts w:ascii="Times New Roman" w:hAnsi="Times New Roman"/>
          <w:color w:val="000000"/>
          <w:sz w:val="20"/>
        </w:rPr>
        <w:t>.</w:t>
      </w:r>
    </w:p>
    <w:p w14:paraId="3F073718" w14:textId="77777777" w:rsidR="006F7663" w:rsidRDefault="007A743B">
      <w:pPr>
        <w:spacing w:after="0" w:line="275" w:lineRule="atLeast"/>
        <w:jc w:val="both"/>
      </w:pPr>
      <w:r>
        <w:rPr>
          <w:rFonts w:ascii="Times New Roman" w:hAnsi="Times New Roman"/>
          <w:color w:val="000000"/>
          <w:sz w:val="20"/>
        </w:rPr>
        <w:t> </w:t>
      </w:r>
    </w:p>
    <w:p w14:paraId="12D962EC" w14:textId="77777777" w:rsidR="006F7663" w:rsidRDefault="007A743B">
      <w:pPr>
        <w:spacing w:after="0" w:line="275" w:lineRule="atLeast"/>
        <w:jc w:val="both"/>
      </w:pPr>
      <w:r>
        <w:rPr>
          <w:rFonts w:ascii="Times New Roman" w:hAnsi="Times New Roman"/>
          <w:color w:val="000000"/>
          <w:sz w:val="20"/>
        </w:rPr>
        <w:t>In this case, the city argued that it exercised reasonable diligence through its annual sidewalk inspection program, but did not have knowledge of the subject defect because, at the time of Jimenez's fall, the city's sidewalk inspector had not yet reac</w:t>
      </w:r>
      <w:r>
        <w:rPr>
          <w:rFonts w:ascii="Times New Roman" w:hAnsi="Times New Roman"/>
          <w:color w:val="000000"/>
          <w:sz w:val="20"/>
        </w:rPr>
        <w:t>hed the area where the subject sidewalk is located. The city further asserted that no one had ever complained about the condition of the subject sidewalk. The city's arguments focused solely on whether it had actual notice of the defect. In response to the</w:t>
      </w:r>
      <w:r>
        <w:rPr>
          <w:rFonts w:ascii="Times New Roman" w:hAnsi="Times New Roman"/>
          <w:color w:val="000000"/>
          <w:sz w:val="20"/>
        </w:rPr>
        <w:t xml:space="preserve"> city's motion, Jimenez provided two images of the subject sidewalk from Google Earth. The first image is from October 2013 and the second is from August 2018. Both images clearly depict that the </w:t>
      </w:r>
      <w:r>
        <w:rPr>
          <w:rFonts w:ascii="Times New Roman" w:hAnsi="Times New Roman"/>
          <w:color w:val="000000"/>
          <w:sz w:val="20"/>
        </w:rPr>
        <w:lastRenderedPageBreak/>
        <w:t xml:space="preserve">subject sidewalk has a vertical discontinuity. The city did </w:t>
      </w:r>
      <w:r>
        <w:rPr>
          <w:rFonts w:ascii="Times New Roman" w:hAnsi="Times New Roman"/>
          <w:color w:val="000000"/>
          <w:sz w:val="20"/>
        </w:rPr>
        <w:t>not address the photographic evidence in its reply brief. Thereafter, Jimenez filed a supplemental response that incorporated Gill's report, which also included two images of the subject sidewalk from Google Earth—one from August 2007 and one from August 2</w:t>
      </w:r>
      <w:r>
        <w:rPr>
          <w:rFonts w:ascii="Times New Roman" w:hAnsi="Times New Roman"/>
          <w:color w:val="000000"/>
          <w:sz w:val="20"/>
        </w:rPr>
        <w:t xml:space="preserve">019. The city was afforded an opportunity to file a supplemental </w:t>
      </w:r>
      <w:proofErr w:type="gramStart"/>
      <w:r>
        <w:rPr>
          <w:rFonts w:ascii="Times New Roman" w:hAnsi="Times New Roman"/>
          <w:color w:val="000000"/>
          <w:sz w:val="20"/>
        </w:rPr>
        <w:t>reply, but</w:t>
      </w:r>
      <w:proofErr w:type="gramEnd"/>
      <w:r>
        <w:rPr>
          <w:rFonts w:ascii="Times New Roman" w:hAnsi="Times New Roman"/>
          <w:color w:val="000000"/>
          <w:sz w:val="20"/>
        </w:rPr>
        <w:t xml:space="preserve"> elected not to file one. And the city did not raise any arguments about the photographic evidence during oral argument before the trial court. Instead, the city maintained “the pla</w:t>
      </w:r>
      <w:r>
        <w:rPr>
          <w:rFonts w:ascii="Times New Roman" w:hAnsi="Times New Roman"/>
          <w:color w:val="000000"/>
          <w:sz w:val="20"/>
        </w:rPr>
        <w:t>intiff has to come forward with affirmative evidence, showing that the city had actual knowledge of the alleged defective condition.”</w:t>
      </w:r>
    </w:p>
    <w:p w14:paraId="38B4AAFC" w14:textId="77777777" w:rsidR="006F7663" w:rsidRDefault="007A743B">
      <w:pPr>
        <w:spacing w:after="0" w:line="275" w:lineRule="atLeast"/>
        <w:jc w:val="both"/>
      </w:pPr>
      <w:r>
        <w:rPr>
          <w:rFonts w:ascii="Times New Roman" w:hAnsi="Times New Roman"/>
          <w:color w:val="000000"/>
          <w:sz w:val="20"/>
        </w:rPr>
        <w:t> </w:t>
      </w:r>
    </w:p>
    <w:p w14:paraId="061068AE" w14:textId="77777777" w:rsidR="006F7663" w:rsidRDefault="007A743B">
      <w:pPr>
        <w:spacing w:after="0" w:line="275" w:lineRule="atLeast"/>
        <w:jc w:val="both"/>
      </w:pPr>
      <w:r>
        <w:rPr>
          <w:rFonts w:ascii="Times New Roman" w:hAnsi="Times New Roman"/>
          <w:color w:val="000000"/>
          <w:sz w:val="20"/>
        </w:rPr>
        <w:t>On appeal, the city contends, for the first time, that the photographs in Gill's report were of poor quality, but the ci</w:t>
      </w:r>
      <w:r>
        <w:rPr>
          <w:rFonts w:ascii="Times New Roman" w:hAnsi="Times New Roman"/>
          <w:color w:val="000000"/>
          <w:sz w:val="20"/>
        </w:rPr>
        <w:t xml:space="preserve">ty does not address the photographs that were embedded in Jimenez's brief in response to the city's motion for summary disposition. The images in Gill's report are, admittedly, less clear than the images that were incorporated in Jimenez's response brief. </w:t>
      </w:r>
      <w:r>
        <w:rPr>
          <w:rFonts w:ascii="Times New Roman" w:hAnsi="Times New Roman"/>
          <w:color w:val="000000"/>
          <w:sz w:val="20"/>
        </w:rPr>
        <w:t>Nevertheless, viewed in the light most favorable to Jimenez, the photographic evidence in Jimenez's response brief gives rise to a reasonable inference that the defect had been present since at least October 2013. Accordingly, the trial court did not err i</w:t>
      </w:r>
      <w:r>
        <w:rPr>
          <w:rFonts w:ascii="Times New Roman" w:hAnsi="Times New Roman"/>
          <w:color w:val="000000"/>
          <w:sz w:val="20"/>
        </w:rPr>
        <w:t>n holding that there is a genuine issue of material fact as to whether the city had constructive notice of the sidewalk defect.</w:t>
      </w:r>
    </w:p>
    <w:p w14:paraId="3E8C9A9A" w14:textId="77777777" w:rsidR="006F7663" w:rsidRDefault="007A743B">
      <w:pPr>
        <w:spacing w:after="0" w:line="275" w:lineRule="atLeast"/>
        <w:jc w:val="both"/>
      </w:pPr>
      <w:r>
        <w:rPr>
          <w:rFonts w:ascii="Times New Roman" w:hAnsi="Times New Roman"/>
          <w:color w:val="000000"/>
          <w:sz w:val="20"/>
        </w:rPr>
        <w:t> </w:t>
      </w:r>
    </w:p>
    <w:p w14:paraId="3313D30C" w14:textId="77777777" w:rsidR="006F7663" w:rsidRDefault="007A743B">
      <w:pPr>
        <w:spacing w:after="0" w:line="275" w:lineRule="atLeast"/>
        <w:jc w:val="both"/>
      </w:pPr>
      <w:r>
        <w:rPr>
          <w:rFonts w:ascii="Times New Roman" w:hAnsi="Times New Roman"/>
          <w:color w:val="000000"/>
          <w:sz w:val="20"/>
        </w:rPr>
        <w:t>Vacated in part, affirmed in part, and remanded for further proceedings consistent with this opinion. We do not retain jurisdi</w:t>
      </w:r>
      <w:r>
        <w:rPr>
          <w:rFonts w:ascii="Times New Roman" w:hAnsi="Times New Roman"/>
          <w:color w:val="000000"/>
          <w:sz w:val="20"/>
        </w:rPr>
        <w:t>ction.</w:t>
      </w:r>
    </w:p>
    <w:p w14:paraId="1A9449AE" w14:textId="77777777" w:rsidR="006F7663" w:rsidRDefault="007A743B">
      <w:pPr>
        <w:spacing w:after="0" w:line="275" w:lineRule="atLeast"/>
        <w:jc w:val="both"/>
      </w:pPr>
      <w:r>
        <w:rPr>
          <w:rFonts w:ascii="Times New Roman" w:hAnsi="Times New Roman"/>
          <w:color w:val="000000"/>
          <w:sz w:val="20"/>
        </w:rPr>
        <w:t> </w:t>
      </w:r>
    </w:p>
    <w:p w14:paraId="45DB5547" w14:textId="77777777" w:rsidR="006F7663" w:rsidRDefault="007A743B">
      <w:pPr>
        <w:keepNext/>
        <w:keepLines/>
        <w:spacing w:before="200" w:after="0" w:line="275" w:lineRule="atLeast"/>
        <w:jc w:val="both"/>
      </w:pPr>
      <w:bookmarkStart w:id="18" w:name="co_allCitations_1"/>
      <w:r>
        <w:rPr>
          <w:rFonts w:ascii="Times New Roman" w:hAnsi="Times New Roman"/>
          <w:b/>
          <w:color w:val="212121"/>
          <w:sz w:val="20"/>
        </w:rPr>
        <w:t>All Citations</w:t>
      </w:r>
    </w:p>
    <w:bookmarkEnd w:id="18"/>
    <w:p w14:paraId="0A63600F" w14:textId="77777777" w:rsidR="006F7663" w:rsidRDefault="007A743B">
      <w:pPr>
        <w:spacing w:before="200" w:after="0" w:line="275" w:lineRule="atLeast"/>
        <w:jc w:val="both"/>
      </w:pPr>
      <w:r>
        <w:rPr>
          <w:rFonts w:ascii="Times New Roman" w:hAnsi="Times New Roman"/>
          <w:color w:val="000000"/>
          <w:sz w:val="20"/>
        </w:rPr>
        <w:t xml:space="preserve">Not Reported in N.W. </w:t>
      </w:r>
      <w:proofErr w:type="spellStart"/>
      <w:r>
        <w:rPr>
          <w:rFonts w:ascii="Times New Roman" w:hAnsi="Times New Roman"/>
          <w:color w:val="000000"/>
          <w:sz w:val="20"/>
        </w:rPr>
        <w:t>Rptr</w:t>
      </w:r>
      <w:proofErr w:type="spellEnd"/>
      <w:r>
        <w:rPr>
          <w:rFonts w:ascii="Times New Roman" w:hAnsi="Times New Roman"/>
          <w:color w:val="000000"/>
          <w:sz w:val="20"/>
        </w:rPr>
        <w:t>., 2024 WL 298956</w:t>
      </w:r>
    </w:p>
    <w:p w14:paraId="2168DC12" w14:textId="77777777" w:rsidR="006F7663" w:rsidRDefault="006F7663">
      <w:pPr>
        <w:sectPr w:rsidR="006F7663">
          <w:headerReference w:type="even" r:id="rId58"/>
          <w:headerReference w:type="default" r:id="rId59"/>
          <w:footerReference w:type="even" r:id="rId60"/>
          <w:footerReference w:type="default" r:id="rId61"/>
          <w:pgSz w:w="12240" w:h="15840"/>
          <w:pgMar w:top="1800" w:right="1080" w:bottom="1080" w:left="1080" w:header="720" w:footer="720" w:gutter="0"/>
          <w:pgNumType w:start="1"/>
          <w:cols w:num="2" w:space="240"/>
        </w:sectPr>
      </w:pPr>
    </w:p>
    <w:p w14:paraId="4ECF4FFE" w14:textId="77777777" w:rsidR="006F7663" w:rsidRDefault="006F7663">
      <w:pPr>
        <w:spacing w:after="0" w:line="240" w:lineRule="auto"/>
        <w:rPr>
          <w:sz w:val="60"/>
        </w:rPr>
      </w:pPr>
    </w:p>
    <w:tbl>
      <w:tblPr>
        <w:tblW w:w="0" w:type="auto"/>
        <w:tblInd w:w="10" w:type="dxa"/>
        <w:tblLayout w:type="fixed"/>
        <w:tblCellMar>
          <w:left w:w="10" w:type="dxa"/>
          <w:right w:w="10" w:type="dxa"/>
        </w:tblCellMar>
        <w:tblLook w:val="04A0" w:firstRow="1" w:lastRow="0" w:firstColumn="1" w:lastColumn="0" w:noHBand="0" w:noVBand="1"/>
      </w:tblPr>
      <w:tblGrid>
        <w:gridCol w:w="600"/>
        <w:gridCol w:w="9450"/>
      </w:tblGrid>
      <w:tr w:rsidR="007A743B" w14:paraId="488C8035" w14:textId="77777777" w:rsidTr="007A743B">
        <w:tblPrEx>
          <w:tblCellMar>
            <w:top w:w="0" w:type="dxa"/>
            <w:bottom w:w="0" w:type="dxa"/>
          </w:tblCellMar>
        </w:tblPrEx>
        <w:tc>
          <w:tcPr>
            <w:tcW w:w="10050" w:type="dxa"/>
            <w:gridSpan w:val="2"/>
            <w:tcMar>
              <w:bottom w:w="300" w:type="dxa"/>
            </w:tcMar>
          </w:tcPr>
          <w:p w14:paraId="023C989F" w14:textId="77777777" w:rsidR="006F7663" w:rsidRDefault="007A743B">
            <w:pPr>
              <w:spacing w:after="0" w:line="275" w:lineRule="atLeast"/>
              <w:jc w:val="center"/>
            </w:pPr>
            <w:r>
              <w:rPr>
                <w:rFonts w:ascii="Times New Roman" w:hAnsi="Times New Roman"/>
                <w:b/>
                <w:color w:val="000000"/>
              </w:rPr>
              <w:t>Footnotes</w:t>
            </w:r>
          </w:p>
        </w:tc>
      </w:tr>
      <w:bookmarkStart w:id="19" w:name="co_footnote_B00012078453350_1"/>
      <w:tr w:rsidR="006F7663" w14:paraId="600A02E6" w14:textId="77777777">
        <w:tblPrEx>
          <w:tblCellMar>
            <w:top w:w="0" w:type="dxa"/>
            <w:bottom w:w="0" w:type="dxa"/>
          </w:tblCellMar>
        </w:tblPrEx>
        <w:tc>
          <w:tcPr>
            <w:tcW w:w="600" w:type="dxa"/>
          </w:tcPr>
          <w:p w14:paraId="511F4001" w14:textId="77777777" w:rsidR="006F7663" w:rsidRDefault="007A743B">
            <w:pPr>
              <w:spacing w:after="0" w:line="275" w:lineRule="atLeast"/>
            </w:pPr>
            <w:r>
              <w:fldChar w:fldCharType="begin"/>
            </w:r>
            <w:r>
              <w:instrText xml:space="preserve"> HYPERLINK \l "co_fnRef_B00012078453350_ID0E1IAC_1" \h </w:instrText>
            </w:r>
            <w:r>
              <w:fldChar w:fldCharType="separate"/>
            </w:r>
            <w:r>
              <w:rPr>
                <w:rFonts w:ascii="Times New Roman" w:hAnsi="Times New Roman"/>
                <w:color w:val="0E568C"/>
                <w:sz w:val="20"/>
                <w:vertAlign w:val="superscript"/>
              </w:rPr>
              <w:t>1</w:t>
            </w:r>
            <w:r>
              <w:rPr>
                <w:rFonts w:ascii="Times New Roman" w:hAnsi="Times New Roman"/>
                <w:color w:val="0E568C"/>
                <w:sz w:val="20"/>
                <w:vertAlign w:val="superscript"/>
              </w:rPr>
              <w:fldChar w:fldCharType="end"/>
            </w:r>
            <w:bookmarkEnd w:id="19"/>
          </w:p>
        </w:tc>
        <w:tc>
          <w:tcPr>
            <w:tcW w:w="9450" w:type="dxa"/>
          </w:tcPr>
          <w:p w14:paraId="36E73C88" w14:textId="77777777" w:rsidR="006F7663" w:rsidRDefault="007A743B">
            <w:pPr>
              <w:pBdr>
                <w:bottom w:val="none" w:sz="0" w:space="8" w:color="auto"/>
              </w:pBdr>
              <w:spacing w:after="0" w:line="275" w:lineRule="atLeast"/>
              <w:jc w:val="both"/>
            </w:pPr>
            <w:r>
              <w:rPr>
                <w:rFonts w:ascii="Times New Roman" w:hAnsi="Times New Roman"/>
                <w:color w:val="000000"/>
                <w:sz w:val="20"/>
              </w:rPr>
              <w:t xml:space="preserve">The city conceded “that the vertical discontinuity between the flags was </w:t>
            </w:r>
            <w:r>
              <w:rPr>
                <w:rFonts w:ascii="Times New Roman" w:hAnsi="Times New Roman"/>
                <w:color w:val="000000"/>
                <w:sz w:val="20"/>
              </w:rPr>
              <w:t>approximately four inches high on the date of the incident ....”</w:t>
            </w:r>
          </w:p>
        </w:tc>
      </w:tr>
      <w:bookmarkStart w:id="20" w:name="co_footnote_B00022078453350_1"/>
      <w:tr w:rsidR="006F7663" w14:paraId="39AB6C25" w14:textId="77777777">
        <w:tblPrEx>
          <w:tblCellMar>
            <w:top w:w="0" w:type="dxa"/>
            <w:bottom w:w="0" w:type="dxa"/>
          </w:tblCellMar>
        </w:tblPrEx>
        <w:tc>
          <w:tcPr>
            <w:tcW w:w="600" w:type="dxa"/>
          </w:tcPr>
          <w:p w14:paraId="7B1E150E" w14:textId="77777777" w:rsidR="006F7663" w:rsidRDefault="007A743B">
            <w:pPr>
              <w:spacing w:after="0" w:line="275" w:lineRule="atLeast"/>
            </w:pPr>
            <w:r>
              <w:fldChar w:fldCharType="begin"/>
            </w:r>
            <w:r>
              <w:instrText xml:space="preserve"> HYPERLINK \l "co_fnRef_B00022078453350_ID0EBJAC_1" \h </w:instrText>
            </w:r>
            <w:r>
              <w:fldChar w:fldCharType="separate"/>
            </w:r>
            <w:r>
              <w:rPr>
                <w:rFonts w:ascii="Times New Roman" w:hAnsi="Times New Roman"/>
                <w:color w:val="0E568C"/>
                <w:sz w:val="20"/>
                <w:vertAlign w:val="superscript"/>
              </w:rPr>
              <w:t>2</w:t>
            </w:r>
            <w:r>
              <w:rPr>
                <w:rFonts w:ascii="Times New Roman" w:hAnsi="Times New Roman"/>
                <w:color w:val="0E568C"/>
                <w:sz w:val="20"/>
                <w:vertAlign w:val="superscript"/>
              </w:rPr>
              <w:fldChar w:fldCharType="end"/>
            </w:r>
            <w:bookmarkEnd w:id="20"/>
          </w:p>
        </w:tc>
        <w:tc>
          <w:tcPr>
            <w:tcW w:w="9450" w:type="dxa"/>
          </w:tcPr>
          <w:p w14:paraId="4C1AC2AE" w14:textId="77777777" w:rsidR="006F7663" w:rsidRDefault="007A743B">
            <w:pPr>
              <w:pBdr>
                <w:bottom w:val="none" w:sz="0" w:space="8" w:color="auto"/>
              </w:pBdr>
              <w:spacing w:after="0" w:line="275" w:lineRule="atLeast"/>
              <w:jc w:val="both"/>
            </w:pPr>
            <w:r>
              <w:rPr>
                <w:rFonts w:ascii="Times New Roman" w:hAnsi="Times New Roman"/>
                <w:color w:val="000000"/>
                <w:sz w:val="20"/>
              </w:rPr>
              <w:t>The city also argued that Jimenez's claim sounded exclusively in premises liability because her injuries arose from an allegedly d</w:t>
            </w:r>
            <w:r>
              <w:rPr>
                <w:rFonts w:ascii="Times New Roman" w:hAnsi="Times New Roman"/>
                <w:color w:val="000000"/>
                <w:sz w:val="20"/>
              </w:rPr>
              <w:t>angerous condition on the land and thus Jimenez failed to state a claim for ordinary negligence as a matter of law. The trial court noted that “courts are not bound by the labels that parties attach to their claims” and held that Jimenez's “claim sounds in</w:t>
            </w:r>
            <w:r>
              <w:rPr>
                <w:rFonts w:ascii="Times New Roman" w:hAnsi="Times New Roman"/>
                <w:color w:val="000000"/>
                <w:sz w:val="20"/>
              </w:rPr>
              <w:t xml:space="preserve"> premises liability.” This argument is not at issue on appeal.</w:t>
            </w:r>
          </w:p>
        </w:tc>
      </w:tr>
    </w:tbl>
    <w:p w14:paraId="0060A69B" w14:textId="77777777" w:rsidR="006F7663" w:rsidRDefault="006F7663">
      <w:pPr>
        <w:spacing w:after="0" w:line="240" w:lineRule="auto"/>
        <w:rPr>
          <w:sz w:val="24"/>
        </w:rPr>
      </w:pPr>
    </w:p>
    <w:tbl>
      <w:tblPr>
        <w:tblW w:w="0" w:type="auto"/>
        <w:tblInd w:w="24" w:type="dxa"/>
        <w:tblLayout w:type="fixed"/>
        <w:tblCellMar>
          <w:left w:w="10" w:type="dxa"/>
          <w:right w:w="10" w:type="dxa"/>
        </w:tblCellMar>
        <w:tblLook w:val="04A0" w:firstRow="1" w:lastRow="0" w:firstColumn="1" w:lastColumn="0" w:noHBand="0" w:noVBand="1"/>
      </w:tblPr>
      <w:tblGrid>
        <w:gridCol w:w="4305"/>
        <w:gridCol w:w="5745"/>
      </w:tblGrid>
      <w:tr w:rsidR="006F7663" w14:paraId="0E92EEC6" w14:textId="77777777">
        <w:tblPrEx>
          <w:tblCellMar>
            <w:top w:w="0" w:type="dxa"/>
            <w:bottom w:w="0" w:type="dxa"/>
          </w:tblCellMar>
        </w:tblPrEx>
        <w:tc>
          <w:tcPr>
            <w:tcW w:w="4305" w:type="dxa"/>
            <w:tcBorders>
              <w:top w:val="single" w:sz="4" w:space="0" w:color="777777"/>
            </w:tcBorders>
            <w:tcMar>
              <w:top w:w="75" w:type="dxa"/>
              <w:left w:w="24" w:type="dxa"/>
              <w:right w:w="24" w:type="dxa"/>
            </w:tcMar>
          </w:tcPr>
          <w:p w14:paraId="16E42FA6" w14:textId="77777777" w:rsidR="006F7663" w:rsidRDefault="007A743B">
            <w:pPr>
              <w:spacing w:after="0" w:line="235" w:lineRule="atLeast"/>
            </w:pPr>
            <w:r>
              <w:rPr>
                <w:rFonts w:ascii="Times New Roman" w:hAnsi="Times New Roman"/>
                <w:b/>
                <w:color w:val="777777"/>
                <w:sz w:val="16"/>
              </w:rPr>
              <w:t>End of Document</w:t>
            </w:r>
          </w:p>
        </w:tc>
        <w:tc>
          <w:tcPr>
            <w:tcW w:w="5745" w:type="dxa"/>
            <w:tcBorders>
              <w:top w:val="single" w:sz="4" w:space="0" w:color="777777"/>
            </w:tcBorders>
            <w:tcMar>
              <w:top w:w="75" w:type="dxa"/>
              <w:left w:w="24" w:type="dxa"/>
              <w:right w:w="24" w:type="dxa"/>
            </w:tcMar>
          </w:tcPr>
          <w:p w14:paraId="4B04B4A5" w14:textId="77777777" w:rsidR="006F7663" w:rsidRDefault="007A743B">
            <w:pPr>
              <w:spacing w:after="0" w:line="235" w:lineRule="atLeast"/>
              <w:jc w:val="right"/>
            </w:pPr>
            <w:r>
              <w:rPr>
                <w:rFonts w:ascii="Times New Roman" w:hAnsi="Times New Roman"/>
                <w:color w:val="777777"/>
                <w:sz w:val="16"/>
              </w:rPr>
              <w:t>© 2024 Thomson Reuters. No claim to original U.S. Government Works.</w:t>
            </w:r>
          </w:p>
        </w:tc>
      </w:tr>
    </w:tbl>
    <w:p w14:paraId="35DEDCE6" w14:textId="77777777" w:rsidR="00000000" w:rsidRDefault="007A743B"/>
    <w:sectPr w:rsidR="00000000">
      <w:pgSz w:w="12240" w:h="15840"/>
      <w:pgMar w:top="180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208EF" w14:textId="77777777" w:rsidR="00000000" w:rsidRDefault="007A743B">
      <w:pPr>
        <w:spacing w:after="0" w:line="240" w:lineRule="auto"/>
      </w:pPr>
      <w:r>
        <w:separator/>
      </w:r>
    </w:p>
  </w:endnote>
  <w:endnote w:type="continuationSeparator" w:id="0">
    <w:p w14:paraId="373812FD" w14:textId="77777777" w:rsidR="00000000" w:rsidRDefault="007A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6F7663" w14:paraId="3BD60D9D" w14:textId="77777777">
      <w:tblPrEx>
        <w:tblCellMar>
          <w:top w:w="0" w:type="dxa"/>
          <w:bottom w:w="0" w:type="dxa"/>
        </w:tblCellMar>
      </w:tblPrEx>
      <w:tc>
        <w:tcPr>
          <w:tcW w:w="9270" w:type="dxa"/>
          <w:tcBorders>
            <w:top w:val="single" w:sz="6" w:space="0" w:color="AAAAAA"/>
          </w:tcBorders>
          <w:tcMar>
            <w:top w:w="60" w:type="dxa"/>
          </w:tcMar>
          <w:vAlign w:val="bottom"/>
        </w:tcPr>
        <w:p w14:paraId="6F32ED33" w14:textId="77777777" w:rsidR="006F7663" w:rsidRDefault="007A743B">
          <w:pPr>
            <w:spacing w:after="0" w:line="240" w:lineRule="auto"/>
          </w:pPr>
          <w:r>
            <w:rPr>
              <w:rFonts w:ascii="Arial" w:hAnsi="Arial"/>
              <w:noProof/>
              <w:color w:val="AAAAAA"/>
              <w:sz w:val="20"/>
            </w:rPr>
            <w:drawing>
              <wp:inline distT="0" distB="0" distL="0" distR="0" wp14:anchorId="0962C82C" wp14:editId="2DA6073E">
                <wp:extent cx="742950" cy="95250"/>
                <wp:effectExtent l="0" t="0" r="0" b="0"/>
                <wp:docPr id="2"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0FC2B63D" w14:textId="77777777" w:rsidR="006F7663" w:rsidRDefault="007A743B">
          <w:pPr>
            <w:spacing w:after="0" w:line="240" w:lineRule="auto"/>
            <w:jc w:val="right"/>
          </w:pPr>
          <w:r>
            <w:rPr>
              <w:rFonts w:ascii="Arial" w:hAnsi="Arial"/>
              <w:color w:val="AAAAAA"/>
              <w:sz w:val="20"/>
            </w:rPr>
            <w:pgNum/>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6F7663" w14:paraId="26C3A3DA" w14:textId="77777777">
      <w:tblPrEx>
        <w:tblCellMar>
          <w:top w:w="0" w:type="dxa"/>
          <w:bottom w:w="0" w:type="dxa"/>
        </w:tblCellMar>
      </w:tblPrEx>
      <w:tc>
        <w:tcPr>
          <w:tcW w:w="9270" w:type="dxa"/>
          <w:tcBorders>
            <w:top w:val="single" w:sz="6" w:space="0" w:color="AAAAAA"/>
          </w:tcBorders>
          <w:tcMar>
            <w:top w:w="60" w:type="dxa"/>
          </w:tcMar>
          <w:vAlign w:val="bottom"/>
        </w:tcPr>
        <w:p w14:paraId="12CD1DDF" w14:textId="77777777" w:rsidR="006F7663" w:rsidRDefault="007A743B">
          <w:pPr>
            <w:spacing w:after="0" w:line="240" w:lineRule="auto"/>
          </w:pPr>
          <w:r>
            <w:rPr>
              <w:rFonts w:ascii="Arial" w:hAnsi="Arial"/>
              <w:noProof/>
              <w:color w:val="AAAAAA"/>
              <w:sz w:val="20"/>
            </w:rPr>
            <w:drawing>
              <wp:inline distT="0" distB="0" distL="0" distR="0" wp14:anchorId="5570A565" wp14:editId="5D8605A8">
                <wp:extent cx="742950" cy="95250"/>
                <wp:effectExtent l="0" t="0" r="0" b="0"/>
                <wp:docPr id="1"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61FFA0AB" w14:textId="77777777" w:rsidR="006F7663" w:rsidRDefault="007A743B">
          <w:pPr>
            <w:spacing w:after="0" w:line="240" w:lineRule="auto"/>
            <w:jc w:val="right"/>
          </w:pPr>
          <w:r>
            <w:rPr>
              <w:rFonts w:ascii="Arial" w:hAnsi="Arial"/>
              <w:color w:val="AAAAAA"/>
              <w:sz w:val="2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D3B85" w14:textId="77777777" w:rsidR="00000000" w:rsidRDefault="007A743B">
      <w:pPr>
        <w:spacing w:after="0" w:line="240" w:lineRule="auto"/>
      </w:pPr>
      <w:r>
        <w:separator/>
      </w:r>
    </w:p>
  </w:footnote>
  <w:footnote w:type="continuationSeparator" w:id="0">
    <w:p w14:paraId="08C7FAE9" w14:textId="77777777" w:rsidR="00000000" w:rsidRDefault="007A7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6F7663" w14:paraId="3C9D3153" w14:textId="77777777">
      <w:tblPrEx>
        <w:tblCellMar>
          <w:top w:w="0" w:type="dxa"/>
          <w:bottom w:w="0" w:type="dxa"/>
        </w:tblCellMar>
      </w:tblPrEx>
      <w:tc>
        <w:tcPr>
          <w:tcW w:w="9360" w:type="dxa"/>
          <w:tcMar>
            <w:top w:w="300" w:type="dxa"/>
            <w:bottom w:w="45" w:type="dxa"/>
          </w:tcMar>
          <w:vAlign w:val="bottom"/>
        </w:tcPr>
        <w:p w14:paraId="348EC868" w14:textId="77777777" w:rsidR="006F7663" w:rsidRDefault="007A743B">
          <w:pPr>
            <w:spacing w:after="0" w:line="240" w:lineRule="auto"/>
            <w:jc w:val="center"/>
          </w:pPr>
          <w:r>
            <w:rPr>
              <w:rFonts w:ascii="Arial" w:hAnsi="Arial"/>
              <w:b/>
              <w:color w:val="000000"/>
              <w:sz w:val="18"/>
            </w:rPr>
            <w:t>Stump, Brandon</w:t>
          </w:r>
          <w:r>
            <w:rPr>
              <w:rFonts w:ascii="Arial" w:hAnsi="Arial"/>
              <w:color w:val="000000"/>
              <w:sz w:val="18"/>
            </w:rPr>
            <w:t xml:space="preserve"> </w:t>
          </w:r>
          <w:r>
            <w:rPr>
              <w:rFonts w:ascii="Arial" w:hAnsi="Arial"/>
              <w:b/>
              <w:color w:val="000000"/>
              <w:sz w:val="18"/>
            </w:rPr>
            <w:t>2/13/2024</w:t>
          </w:r>
        </w:p>
        <w:p w14:paraId="64AAFDD8" w14:textId="77777777" w:rsidR="006F7663" w:rsidRDefault="007A743B">
          <w:pPr>
            <w:spacing w:after="0" w:line="240" w:lineRule="auto"/>
            <w:jc w:val="center"/>
          </w:pPr>
          <w:r>
            <w:rPr>
              <w:rFonts w:ascii="Arial" w:hAnsi="Arial"/>
              <w:b/>
              <w:color w:val="000000"/>
              <w:sz w:val="18"/>
            </w:rPr>
            <w:t xml:space="preserve">For Educational Use </w:t>
          </w:r>
          <w:r>
            <w:rPr>
              <w:rFonts w:ascii="Arial" w:hAnsi="Arial"/>
              <w:b/>
              <w:color w:val="000000"/>
              <w:sz w:val="18"/>
            </w:rPr>
            <w:t>Only</w:t>
          </w:r>
        </w:p>
      </w:tc>
      <w:tc>
        <w:tcPr>
          <w:tcW w:w="705" w:type="dxa"/>
        </w:tcPr>
        <w:p w14:paraId="0ED92CED" w14:textId="77777777" w:rsidR="006F7663" w:rsidRDefault="006F7663">
          <w:pPr>
            <w:spacing w:after="0" w:line="240" w:lineRule="auto"/>
          </w:pPr>
        </w:p>
      </w:tc>
    </w:tr>
    <w:tr w:rsidR="006F7663" w14:paraId="58C1AF76"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757A23F3" w14:textId="77777777" w:rsidR="006F7663" w:rsidRDefault="007A743B">
          <w:pPr>
            <w:spacing w:after="0" w:line="240" w:lineRule="auto"/>
          </w:pPr>
          <w:r>
            <w:rPr>
              <w:rFonts w:ascii="Arial" w:hAnsi="Arial"/>
              <w:b/>
              <w:color w:val="555555"/>
              <w:sz w:val="18"/>
            </w:rPr>
            <w:t xml:space="preserve">Jimenez v. City of Lincoln Park, Not Reported in N.W. </w:t>
          </w:r>
          <w:proofErr w:type="spellStart"/>
          <w:r>
            <w:rPr>
              <w:rFonts w:ascii="Arial" w:hAnsi="Arial"/>
              <w:b/>
              <w:color w:val="555555"/>
              <w:sz w:val="18"/>
            </w:rPr>
            <w:t>Rptr</w:t>
          </w:r>
          <w:proofErr w:type="spellEnd"/>
          <w:r>
            <w:rPr>
              <w:rFonts w:ascii="Arial" w:hAnsi="Arial"/>
              <w:b/>
              <w:color w:val="555555"/>
              <w:sz w:val="18"/>
            </w:rPr>
            <w:t>. (2024)</w:t>
          </w:r>
        </w:p>
      </w:tc>
      <w:tc>
        <w:tcPr>
          <w:tcW w:w="705" w:type="dxa"/>
          <w:tcBorders>
            <w:bottom w:val="single" w:sz="6" w:space="0" w:color="AAAAAA"/>
          </w:tcBorders>
          <w:tcMar>
            <w:top w:w="390" w:type="dxa"/>
            <w:bottom w:w="60" w:type="dxa"/>
          </w:tcMar>
        </w:tcPr>
        <w:p w14:paraId="69C22992" w14:textId="77777777" w:rsidR="006F7663" w:rsidRDefault="006F7663">
          <w:pPr>
            <w:spacing w:after="0" w:line="240" w:lineRule="auto"/>
            <w:rPr>
              <w:rFonts w:ascii="Arial" w:hAnsi="Arial"/>
              <w:color w:val="000000"/>
              <w:sz w:val="18"/>
            </w:rPr>
          </w:pPr>
        </w:p>
      </w:tc>
    </w:tr>
    <w:tr w:rsidR="007A743B" w14:paraId="57514D2B" w14:textId="77777777" w:rsidTr="007A743B">
      <w:tblPrEx>
        <w:tblCellMar>
          <w:top w:w="0" w:type="dxa"/>
          <w:bottom w:w="0" w:type="dxa"/>
        </w:tblCellMar>
      </w:tblPrEx>
      <w:tc>
        <w:tcPr>
          <w:tcW w:w="10065" w:type="dxa"/>
          <w:gridSpan w:val="2"/>
        </w:tcPr>
        <w:p w14:paraId="19753183" w14:textId="77777777" w:rsidR="006F7663" w:rsidRDefault="006F7663">
          <w:pPr>
            <w:spacing w:after="0" w:line="240" w:lineRule="auto"/>
            <w:rPr>
              <w:rFonts w:ascii="Arial" w:hAnsi="Arial"/>
              <w:color w:val="000000"/>
              <w:sz w:val="18"/>
            </w:rPr>
          </w:pPr>
        </w:p>
      </w:tc>
    </w:tr>
  </w:tbl>
  <w:p w14:paraId="650A5923" w14:textId="77777777" w:rsidR="006F7663" w:rsidRDefault="007A743B">
    <w:pPr>
      <w:spacing w:after="0" w:line="240" w:lineRule="auto"/>
    </w:pPr>
    <w:r>
      <w:rPr>
        <w:rFonts w:ascii="Arial" w:hAnsi="Arial"/>
        <w:color w:val="00000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6F7663" w14:paraId="7E98206C" w14:textId="77777777">
      <w:tblPrEx>
        <w:tblCellMar>
          <w:top w:w="0" w:type="dxa"/>
          <w:bottom w:w="0" w:type="dxa"/>
        </w:tblCellMar>
      </w:tblPrEx>
      <w:tc>
        <w:tcPr>
          <w:tcW w:w="9360" w:type="dxa"/>
          <w:tcMar>
            <w:top w:w="300" w:type="dxa"/>
            <w:bottom w:w="45" w:type="dxa"/>
          </w:tcMar>
          <w:vAlign w:val="bottom"/>
        </w:tcPr>
        <w:p w14:paraId="05639559" w14:textId="77777777" w:rsidR="006F7663" w:rsidRDefault="007A743B">
          <w:pPr>
            <w:spacing w:after="0" w:line="240" w:lineRule="auto"/>
            <w:jc w:val="center"/>
          </w:pPr>
          <w:r>
            <w:rPr>
              <w:rFonts w:ascii="Arial" w:hAnsi="Arial"/>
              <w:b/>
              <w:color w:val="000000"/>
              <w:sz w:val="18"/>
            </w:rPr>
            <w:t>Stump, Brandon</w:t>
          </w:r>
          <w:r>
            <w:rPr>
              <w:rFonts w:ascii="Arial" w:hAnsi="Arial"/>
              <w:color w:val="000000"/>
              <w:sz w:val="18"/>
            </w:rPr>
            <w:t xml:space="preserve"> </w:t>
          </w:r>
          <w:r>
            <w:rPr>
              <w:rFonts w:ascii="Arial" w:hAnsi="Arial"/>
              <w:b/>
              <w:color w:val="000000"/>
              <w:sz w:val="18"/>
            </w:rPr>
            <w:t>2/13/2024</w:t>
          </w:r>
        </w:p>
        <w:p w14:paraId="586539DE" w14:textId="77777777" w:rsidR="006F7663" w:rsidRDefault="007A743B">
          <w:pPr>
            <w:spacing w:after="0" w:line="240" w:lineRule="auto"/>
            <w:jc w:val="center"/>
          </w:pPr>
          <w:r>
            <w:rPr>
              <w:rFonts w:ascii="Arial" w:hAnsi="Arial"/>
              <w:b/>
              <w:color w:val="000000"/>
              <w:sz w:val="18"/>
            </w:rPr>
            <w:t>For Educational Use Only</w:t>
          </w:r>
        </w:p>
      </w:tc>
      <w:tc>
        <w:tcPr>
          <w:tcW w:w="705" w:type="dxa"/>
        </w:tcPr>
        <w:p w14:paraId="3E69DEE1" w14:textId="77777777" w:rsidR="006F7663" w:rsidRDefault="006F7663">
          <w:pPr>
            <w:spacing w:after="0" w:line="240" w:lineRule="auto"/>
          </w:pPr>
        </w:p>
      </w:tc>
    </w:tr>
    <w:tr w:rsidR="006F7663" w14:paraId="7E7402B4"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2D20C267" w14:textId="77777777" w:rsidR="006F7663" w:rsidRDefault="007A743B">
          <w:pPr>
            <w:spacing w:after="0" w:line="240" w:lineRule="auto"/>
          </w:pPr>
          <w:r>
            <w:rPr>
              <w:rFonts w:ascii="Arial" w:hAnsi="Arial"/>
              <w:b/>
              <w:color w:val="555555"/>
              <w:sz w:val="18"/>
            </w:rPr>
            <w:t xml:space="preserve">Jimenez v. City of Lincoln Park, Not Reported in N.W. </w:t>
          </w:r>
          <w:proofErr w:type="spellStart"/>
          <w:r>
            <w:rPr>
              <w:rFonts w:ascii="Arial" w:hAnsi="Arial"/>
              <w:b/>
              <w:color w:val="555555"/>
              <w:sz w:val="18"/>
            </w:rPr>
            <w:t>Rptr</w:t>
          </w:r>
          <w:proofErr w:type="spellEnd"/>
          <w:r>
            <w:rPr>
              <w:rFonts w:ascii="Arial" w:hAnsi="Arial"/>
              <w:b/>
              <w:color w:val="555555"/>
              <w:sz w:val="18"/>
            </w:rPr>
            <w:t>. (2024)</w:t>
          </w:r>
        </w:p>
      </w:tc>
      <w:tc>
        <w:tcPr>
          <w:tcW w:w="705" w:type="dxa"/>
          <w:tcBorders>
            <w:bottom w:val="single" w:sz="6" w:space="0" w:color="AAAAAA"/>
          </w:tcBorders>
          <w:tcMar>
            <w:top w:w="390" w:type="dxa"/>
            <w:bottom w:w="60" w:type="dxa"/>
          </w:tcMar>
        </w:tcPr>
        <w:p w14:paraId="5CCEA3EF" w14:textId="77777777" w:rsidR="006F7663" w:rsidRDefault="006F7663">
          <w:pPr>
            <w:spacing w:after="0" w:line="240" w:lineRule="auto"/>
            <w:rPr>
              <w:rFonts w:ascii="Arial" w:hAnsi="Arial"/>
              <w:color w:val="000000"/>
              <w:sz w:val="18"/>
            </w:rPr>
          </w:pPr>
        </w:p>
      </w:tc>
    </w:tr>
    <w:tr w:rsidR="007A743B" w14:paraId="7C547D35" w14:textId="77777777" w:rsidTr="007A743B">
      <w:tblPrEx>
        <w:tblCellMar>
          <w:top w:w="0" w:type="dxa"/>
          <w:bottom w:w="0" w:type="dxa"/>
        </w:tblCellMar>
      </w:tblPrEx>
      <w:tc>
        <w:tcPr>
          <w:tcW w:w="10065" w:type="dxa"/>
          <w:gridSpan w:val="2"/>
        </w:tcPr>
        <w:p w14:paraId="4398AF66" w14:textId="77777777" w:rsidR="006F7663" w:rsidRDefault="006F7663">
          <w:pPr>
            <w:spacing w:after="0" w:line="240" w:lineRule="auto"/>
            <w:rPr>
              <w:rFonts w:ascii="Arial" w:hAnsi="Arial"/>
              <w:color w:val="000000"/>
              <w:sz w:val="18"/>
            </w:rPr>
          </w:pPr>
        </w:p>
      </w:tc>
    </w:tr>
  </w:tbl>
  <w:p w14:paraId="50545C1B" w14:textId="77777777" w:rsidR="006F7663" w:rsidRDefault="007A743B">
    <w:pPr>
      <w:spacing w:after="0" w:line="240" w:lineRule="auto"/>
    </w:pPr>
    <w:r>
      <w:rPr>
        <w:rFonts w:ascii="Arial" w:hAnsi="Arial"/>
        <w:color w:val="000000"/>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7663"/>
    <w:rsid w:val="006F7663"/>
    <w:rsid w:val="007A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A573"/>
  <w15:docId w15:val="{99D14EB7-73F6-4233-94DA-F47FD9B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westlaw.com/Link/Document/FullText?findType=Y&amp;serNum=2001555875&amp;pubNum=0000595&amp;originatingDoc=I415ca8b0bc9311eea8dcb6d69762ebf2&amp;refType=RP&amp;originationContext=document&amp;vr=3.0&amp;rs=cblt1.0&amp;transitionType=DocumentItem&amp;contextData=(sc.Keycite)" TargetMode="External"/><Relationship Id="rId18" Type="http://schemas.openxmlformats.org/officeDocument/2006/relationships/hyperlink" Target="https://www.westlaw.com/Link/Document/FullText?findType=L&amp;pubNum=1005474&amp;cite=MIRRCPMCR2.116&amp;originatingDoc=I415ca8b0bc9311eea8dcb6d69762ebf2&amp;refType=LQ&amp;originationContext=document&amp;vr=3.0&amp;rs=cblt1.0&amp;transitionType=DocumentItem&amp;contextData=(sc.Keycite)" TargetMode="External"/><Relationship Id="rId26" Type="http://schemas.openxmlformats.org/officeDocument/2006/relationships/hyperlink" Target="https://www.westlaw.com/Link/Document/FullText?findType=Y&amp;serNum=2027611547&amp;pubNum=0000543&amp;originatingDoc=I415ca8b0bc9311eea8dcb6d69762ebf2&amp;refType=RP&amp;originationContext=document&amp;vr=3.0&amp;rs=cblt1.0&amp;transitionType=DocumentItem&amp;contextData=(sc.Keycite)" TargetMode="External"/><Relationship Id="rId39" Type="http://schemas.openxmlformats.org/officeDocument/2006/relationships/hyperlink" Target="https://www.westlaw.com/Link/Document/FullText?findType=L&amp;pubNum=1000043&amp;cite=MIST691.1402A&amp;originatingDoc=I415ca8b0bc9311eea8dcb6d69762ebf2&amp;refType=SP&amp;originationContext=document&amp;vr=3.0&amp;rs=cblt1.0&amp;transitionType=DocumentItem&amp;contextData=(sc.Keycite)" TargetMode="External"/><Relationship Id="rId21" Type="http://schemas.openxmlformats.org/officeDocument/2006/relationships/hyperlink" Target="https://www.westlaw.com/Link/Document/FullText?findType=L&amp;pubNum=1005474&amp;cite=MIRRCPMCR2.116&amp;originatingDoc=I415ca8b0bc9311eea8dcb6d69762ebf2&amp;refType=LQ&amp;originationContext=document&amp;vr=3.0&amp;rs=cblt1.0&amp;transitionType=DocumentItem&amp;contextData=(sc.Keycite)" TargetMode="External"/><Relationship Id="rId34" Type="http://schemas.openxmlformats.org/officeDocument/2006/relationships/hyperlink" Target="https://www.westlaw.com/Link/Document/FullText?findType=L&amp;pubNum=1000043&amp;cite=MIST691.1407&amp;originatingDoc=I415ca8b0bc9311eea8dcb6d69762ebf2&amp;refType=SP&amp;originationContext=document&amp;vr=3.0&amp;rs=cblt1.0&amp;transitionType=DocumentItem&amp;contextData=(sc.Keycite)" TargetMode="External"/><Relationship Id="rId42" Type="http://schemas.openxmlformats.org/officeDocument/2006/relationships/hyperlink" Target="https://www.westlaw.com/Link/Document/FullText?findType=L&amp;pubNum=1000043&amp;cite=MIST691.1402A&amp;originatingDoc=I415ca8b0bc9311eea8dcb6d69762ebf2&amp;refType=SP&amp;originationContext=document&amp;vr=3.0&amp;rs=cblt1.0&amp;transitionType=DocumentItem&amp;contextData=(sc.Keycite)" TargetMode="External"/><Relationship Id="rId47" Type="http://schemas.openxmlformats.org/officeDocument/2006/relationships/hyperlink" Target="https://www.westlaw.com/Link/Document/FullText?findType=Y&amp;serNum=2075768872&amp;pubNum=0004031&amp;originatingDoc=I415ca8b0bc9311eea8dcb6d69762ebf2&amp;refType=RP&amp;originationContext=document&amp;vr=3.0&amp;rs=cblt1.0&amp;transitionType=DocumentItem&amp;contextData=(sc.Keycite)" TargetMode="External"/><Relationship Id="rId50" Type="http://schemas.openxmlformats.org/officeDocument/2006/relationships/hyperlink" Target="https://www.westlaw.com/Link/Document/FullText?findType=Y&amp;serNum=2001555875&amp;pubNum=0000595&amp;originatingDoc=I415ca8b0bc9311eea8dcb6d69762ebf2&amp;refType=RP&amp;originationContext=document&amp;vr=3.0&amp;rs=cblt1.0&amp;transitionType=DocumentItem&amp;contextData=(sc.Keycite)" TargetMode="External"/><Relationship Id="rId55" Type="http://schemas.openxmlformats.org/officeDocument/2006/relationships/hyperlink" Target="https://www.westlaw.com/Link/Document/FullText?findType=Y&amp;serNum=2039587831&amp;pubNum=0000542&amp;originatingDoc=I415ca8b0bc9311eea8dcb6d69762ebf2&amp;refType=RP&amp;fi=co_pp_sp_542_474&amp;originationContext=document&amp;vr=3.0&amp;rs=cblt1.0&amp;transitionType=DocumentItem&amp;contextData=(sc.Keycite)"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westlaw.com/Link/Document/FullText?findType=L&amp;pubNum=1000043&amp;cite=MIST691.1401&amp;originatingDoc=I415ca8b0bc9311eea8dcb6d69762ebf2&amp;refType=LQ&amp;originationContext=document&amp;vr=3.0&amp;rs=cblt1.0&amp;transitionType=DocumentItem&amp;contextData=(sc.Keycite)" TargetMode="External"/><Relationship Id="rId29" Type="http://schemas.openxmlformats.org/officeDocument/2006/relationships/hyperlink" Target="https://www.westlaw.com/Link/Document/FullText?findType=Y&amp;serNum=2048678943&amp;pubNum=0000542&amp;originatingDoc=I415ca8b0bc9311eea8dcb6d69762ebf2&amp;refType=RP&amp;fi=co_pp_sp_542_160&amp;originationContext=document&amp;vr=3.0&amp;rs=cblt1.0&amp;transitionType=DocumentItem&amp;contextData=(sc.Keycite)" TargetMode="External"/><Relationship Id="rId11" Type="http://schemas.openxmlformats.org/officeDocument/2006/relationships/hyperlink" Target="https://www.westlaw.com/Link/Document/FullText?findType=h&amp;pubNum=176284&amp;cite=0528523201&amp;originatingDoc=I415ca8b0bc9311eea8dcb6d69762ebf2&amp;refType=RQ&amp;originationContext=document&amp;vr=3.0&amp;rs=cblt1.0&amp;transitionType=DocumentItem&amp;contextData=(sc.Keycite)" TargetMode="External"/><Relationship Id="rId24" Type="http://schemas.openxmlformats.org/officeDocument/2006/relationships/hyperlink" Target="https://www.westlaw.com/Link/Document/FullText?findType=Y&amp;serNum=2027611547&amp;pubNum=0000543&amp;originatingDoc=I415ca8b0bc9311eea8dcb6d69762ebf2&amp;refType=RP&amp;originationContext=document&amp;vr=3.0&amp;rs=cblt1.0&amp;transitionType=DocumentItem&amp;contextData=(sc.Keycite)" TargetMode="External"/><Relationship Id="rId32" Type="http://schemas.openxmlformats.org/officeDocument/2006/relationships/hyperlink" Target="https://www.westlaw.com/Link/Document/FullText?findType=Y&amp;serNum=1994122209&amp;pubNum=0000542&amp;originatingDoc=I415ca8b0bc9311eea8dcb6d69762ebf2&amp;refType=RP&amp;fi=co_pp_sp_542_161&amp;originationContext=document&amp;vr=3.0&amp;rs=cblt1.0&amp;transitionType=DocumentItem&amp;contextData=(sc.Keycite)" TargetMode="External"/><Relationship Id="rId37" Type="http://schemas.openxmlformats.org/officeDocument/2006/relationships/hyperlink" Target="https://www.westlaw.com/Link/Document/FullText?findType=Y&amp;serNum=2039587831&amp;pubNum=0000542&amp;originatingDoc=I415ca8b0bc9311eea8dcb6d69762ebf2&amp;refType=RP&amp;fi=co_pp_sp_542_473&amp;originationContext=document&amp;vr=3.0&amp;rs=cblt1.0&amp;transitionType=DocumentItem&amp;contextData=(sc.Keycite)" TargetMode="External"/><Relationship Id="rId40" Type="http://schemas.openxmlformats.org/officeDocument/2006/relationships/hyperlink" Target="https://www.westlaw.com/Link/Document/FullText?findType=L&amp;pubNum=1000043&amp;cite=MIST691.1402A&amp;originatingDoc=I415ca8b0bc9311eea8dcb6d69762ebf2&amp;refType=SP&amp;originationContext=document&amp;vr=3.0&amp;rs=cblt1.0&amp;transitionType=DocumentItem&amp;contextData=(sc.Keycite)" TargetMode="External"/><Relationship Id="rId45" Type="http://schemas.openxmlformats.org/officeDocument/2006/relationships/hyperlink" Target="https://www.westlaw.com/Link/Document/FullText?findType=Y&amp;serNum=2028320383&amp;pubNum=0000542&amp;originatingDoc=I415ca8b0bc9311eea8dcb6d69762ebf2&amp;refType=RP&amp;originationContext=document&amp;vr=3.0&amp;rs=cblt1.0&amp;transitionType=DocumentItem&amp;contextData=(sc.Keycite)" TargetMode="External"/><Relationship Id="rId53" Type="http://schemas.openxmlformats.org/officeDocument/2006/relationships/hyperlink" Target="https://www.westlaw.com/Link/Document/FullText?findType=Y&amp;serNum=2075768872&amp;pubNum=0004031&amp;originatingDoc=I415ca8b0bc9311eea8dcb6d69762ebf2&amp;refType=RP&amp;originationContext=document&amp;vr=3.0&amp;rs=cblt1.0&amp;transitionType=DocumentItem&amp;contextData=(sc.Keycite)" TargetMode="External"/><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www.westlaw.com/Link/Document/FullText?findType=Y&amp;serNum=2048678943&amp;pubNum=0000542&amp;originatingDoc=I415ca8b0bc9311eea8dcb6d69762ebf2&amp;refType=RP&amp;fi=co_pp_sp_542_159&amp;originationContext=document&amp;vr=3.0&amp;rs=cblt1.0&amp;transitionType=DocumentItem&amp;contextData=(sc.Keycite)" TargetMode="External"/><Relationship Id="rId14" Type="http://schemas.openxmlformats.org/officeDocument/2006/relationships/hyperlink" Target="https://www.westlaw.com/Link/Document/FullText?findType=Y&amp;serNum=2001555875&amp;pubNum=0000595&amp;originatingDoc=I415ca8b0bc9311eea8dcb6d69762ebf2&amp;refType=RP&amp;originationContext=document&amp;vr=3.0&amp;rs=cblt1.0&amp;transitionType=DocumentItem&amp;contextData=(sc.Keycite)" TargetMode="External"/><Relationship Id="rId22" Type="http://schemas.openxmlformats.org/officeDocument/2006/relationships/hyperlink" Target="https://www.westlaw.com/Link/Document/FullText?findType=Y&amp;serNum=2027611547&amp;pubNum=0000543&amp;originatingDoc=I415ca8b0bc9311eea8dcb6d69762ebf2&amp;refType=RP&amp;fi=co_pp_sp_543_391&amp;originationContext=document&amp;vr=3.0&amp;rs=cblt1.0&amp;transitionType=DocumentItem&amp;contextData=(sc.Keycite)" TargetMode="External"/><Relationship Id="rId27" Type="http://schemas.openxmlformats.org/officeDocument/2006/relationships/hyperlink" Target="https://www.westlaw.com/Link/Document/FullText?findType=Y&amp;serNum=2027611547&amp;pubNum=0000543&amp;originatingDoc=I415ca8b0bc9311eea8dcb6d69762ebf2&amp;refType=RP&amp;originationContext=document&amp;vr=3.0&amp;rs=cblt1.0&amp;transitionType=DocumentItem&amp;contextData=(sc.Keycite)" TargetMode="External"/><Relationship Id="rId30" Type="http://schemas.openxmlformats.org/officeDocument/2006/relationships/hyperlink" Target="https://www.westlaw.com/Link/Document/FullText?findType=Y&amp;serNum=2048678943&amp;pubNum=0000542&amp;originatingDoc=I415ca8b0bc9311eea8dcb6d69762ebf2&amp;refType=RP&amp;originationContext=document&amp;vr=3.0&amp;rs=cblt1.0&amp;transitionType=DocumentItem&amp;contextData=(sc.Keycite)" TargetMode="External"/><Relationship Id="rId35" Type="http://schemas.openxmlformats.org/officeDocument/2006/relationships/hyperlink" Target="https://www.westlaw.com/Link/Document/FullText?findType=Y&amp;serNum=2039587831&amp;pubNum=0000542&amp;originatingDoc=I415ca8b0bc9311eea8dcb6d69762ebf2&amp;refType=RP&amp;fi=co_pp_sp_542_473&amp;originationContext=document&amp;vr=3.0&amp;rs=cblt1.0&amp;transitionType=DocumentItem&amp;contextData=(sc.Keycite)" TargetMode="External"/><Relationship Id="rId43" Type="http://schemas.openxmlformats.org/officeDocument/2006/relationships/hyperlink" Target="https://www.westlaw.com/Link/Document/FullText?findType=L&amp;pubNum=1000043&amp;cite=MIST691.1402A&amp;originatingDoc=I415ca8b0bc9311eea8dcb6d69762ebf2&amp;refType=SP&amp;originationContext=document&amp;vr=3.0&amp;rs=cblt1.0&amp;transitionType=DocumentItem&amp;contextData=(sc.Keycite)" TargetMode="External"/><Relationship Id="rId48" Type="http://schemas.openxmlformats.org/officeDocument/2006/relationships/hyperlink" Target="https://www.westlaw.com/Link/Document/FullText?findType=Y&amp;serNum=2075768872&amp;pubNum=0004031&amp;originatingDoc=I415ca8b0bc9311eea8dcb6d69762ebf2&amp;refType=RP&amp;originationContext=document&amp;vr=3.0&amp;rs=cblt1.0&amp;transitionType=DocumentItem&amp;contextData=(sc.Keycite)" TargetMode="External"/><Relationship Id="rId56" Type="http://schemas.openxmlformats.org/officeDocument/2006/relationships/hyperlink" Target="https://www.westlaw.com/Link/Document/FullText?findType=L&amp;pubNum=1000043&amp;cite=MIST691.1403&amp;originatingDoc=I415ca8b0bc9311eea8dcb6d69762ebf2&amp;refType=LQ&amp;originationContext=document&amp;vr=3.0&amp;rs=cblt1.0&amp;transitionType=DocumentItem&amp;contextData=(sc.Keycite)" TargetMode="External"/><Relationship Id="rId8" Type="http://schemas.openxmlformats.org/officeDocument/2006/relationships/endnotes" Target="endnotes.xml"/><Relationship Id="rId51" Type="http://schemas.openxmlformats.org/officeDocument/2006/relationships/hyperlink" Target="https://www.westlaw.com/Link/Document/FullText?findType=Y&amp;serNum=2075768872&amp;pubNum=0004031&amp;originatingDoc=I415ca8b0bc9311eea8dcb6d69762ebf2&amp;refType=RP&amp;originationContext=document&amp;vr=3.0&amp;rs=cblt1.0&amp;transitionType=DocumentItem&amp;contextData=(sc.Keycite)" TargetMode="External"/><Relationship Id="rId3" Type="http://schemas.openxmlformats.org/officeDocument/2006/relationships/customXml" Target="../customXml/item3.xml"/><Relationship Id="rId12" Type="http://schemas.openxmlformats.org/officeDocument/2006/relationships/hyperlink" Target="https://www.westlaw.com/Link/Document/FullText?findType=L&amp;pubNum=1005474&amp;cite=MIRRCPMCR2.116&amp;originatingDoc=I415ca8b0bc9311eea8dcb6d69762ebf2&amp;refType=LQ&amp;originationContext=document&amp;vr=3.0&amp;rs=cblt1.0&amp;transitionType=DocumentItem&amp;contextData=(sc.Keycite)" TargetMode="External"/><Relationship Id="rId17" Type="http://schemas.openxmlformats.org/officeDocument/2006/relationships/hyperlink" Target="https://www.westlaw.com/Link/Document/FullText?findType=L&amp;pubNum=1000043&amp;cite=MIST691.1402A&amp;originatingDoc=I415ca8b0bc9311eea8dcb6d69762ebf2&amp;refType=LQ&amp;originationContext=document&amp;vr=3.0&amp;rs=cblt1.0&amp;transitionType=DocumentItem&amp;contextData=(sc.Keycite)" TargetMode="External"/><Relationship Id="rId25" Type="http://schemas.openxmlformats.org/officeDocument/2006/relationships/hyperlink" Target="https://www.westlaw.com/Link/Document/FullText?findType=L&amp;pubNum=1005474&amp;cite=MIRRCPMCR2.116&amp;originatingDoc=I415ca8b0bc9311eea8dcb6d69762ebf2&amp;refType=LQ&amp;originationContext=document&amp;vr=3.0&amp;rs=cblt1.0&amp;transitionType=DocumentItem&amp;contextData=(sc.Keycite)" TargetMode="External"/><Relationship Id="rId33" Type="http://schemas.openxmlformats.org/officeDocument/2006/relationships/hyperlink" Target="https://www.westlaw.com/Link/Document/FullText?findType=Y&amp;serNum=1994122209&amp;pubNum=0000542&amp;originatingDoc=I415ca8b0bc9311eea8dcb6d69762ebf2&amp;refType=RP&amp;originationContext=document&amp;vr=3.0&amp;rs=cblt1.0&amp;transitionType=DocumentItem&amp;contextData=(sc.Keycite)" TargetMode="External"/><Relationship Id="rId38" Type="http://schemas.openxmlformats.org/officeDocument/2006/relationships/hyperlink" Target="https://www.westlaw.com/Link/Document/FullText?findType=L&amp;pubNum=1000043&amp;cite=MIST691.1402A&amp;originatingDoc=I415ca8b0bc9311eea8dcb6d69762ebf2&amp;refType=SP&amp;originationContext=document&amp;vr=3.0&amp;rs=cblt1.0&amp;transitionType=DocumentItem&amp;contextData=(sc.Keycite)" TargetMode="External"/><Relationship Id="rId46" Type="http://schemas.openxmlformats.org/officeDocument/2006/relationships/hyperlink" Target="https://www.westlaw.com/Link/Document/FullText?findType=Y&amp;serNum=2001555875&amp;pubNum=0000595&amp;originatingDoc=I415ca8b0bc9311eea8dcb6d69762ebf2&amp;refType=RP&amp;originationContext=document&amp;vr=3.0&amp;rs=cblt1.0&amp;transitionType=DocumentItem&amp;contextData=(sc.Keycite)" TargetMode="External"/><Relationship Id="rId59" Type="http://schemas.openxmlformats.org/officeDocument/2006/relationships/header" Target="header2.xml"/><Relationship Id="rId20" Type="http://schemas.openxmlformats.org/officeDocument/2006/relationships/hyperlink" Target="https://www.westlaw.com/Link/Document/FullText?findType=Y&amp;serNum=2046064592&amp;pubNum=0000595&amp;originatingDoc=I415ca8b0bc9311eea8dcb6d69762ebf2&amp;refType=RP&amp;fi=co_pp_sp_595_441&amp;originationContext=document&amp;vr=3.0&amp;rs=cblt1.0&amp;transitionType=DocumentItem&amp;contextData=(sc.Keycite)" TargetMode="External"/><Relationship Id="rId41" Type="http://schemas.openxmlformats.org/officeDocument/2006/relationships/hyperlink" Target="https://www.westlaw.com/Link/Document/FullText?findType=L&amp;pubNum=1000043&amp;cite=MIST691.1402A&amp;originatingDoc=I415ca8b0bc9311eea8dcb6d69762ebf2&amp;refType=SP&amp;originationContext=document&amp;vr=3.0&amp;rs=cblt1.0&amp;transitionType=DocumentItem&amp;contextData=(sc.Keycite)" TargetMode="External"/><Relationship Id="rId54" Type="http://schemas.openxmlformats.org/officeDocument/2006/relationships/hyperlink" Target="https://www.westlaw.com/Link/Document/FullText?findType=Y&amp;serNum=2075768872&amp;pubNum=0004031&amp;originatingDoc=I415ca8b0bc9311eea8dcb6d69762ebf2&amp;refType=RP&amp;originationContext=document&amp;vr=3.0&amp;rs=cblt1.0&amp;transitionType=DocumentItem&amp;contextData=(sc.Keycit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westlaw.com/Link/Document/FullText?findType=Y&amp;serNum=2075768872&amp;pubNum=0004031&amp;originatingDoc=I415ca8b0bc9311eea8dcb6d69762ebf2&amp;refType=RP&amp;originationContext=document&amp;vr=3.0&amp;rs=cblt1.0&amp;transitionType=DocumentItem&amp;contextData=(sc.Keycite)" TargetMode="External"/><Relationship Id="rId23" Type="http://schemas.openxmlformats.org/officeDocument/2006/relationships/hyperlink" Target="https://www.westlaw.com/Link/Document/FullText?findType=L&amp;pubNum=1005474&amp;cite=MIRRCPMCR2.116&amp;originatingDoc=I415ca8b0bc9311eea8dcb6d69762ebf2&amp;refType=LQ&amp;originationContext=document&amp;vr=3.0&amp;rs=cblt1.0&amp;transitionType=DocumentItem&amp;contextData=(sc.Keycite)" TargetMode="External"/><Relationship Id="rId28" Type="http://schemas.openxmlformats.org/officeDocument/2006/relationships/hyperlink" Target="https://www.westlaw.com/Link/Document/FullText?findType=L&amp;pubNum=1005474&amp;cite=MIRRCPMCR2.116&amp;originatingDoc=I415ca8b0bc9311eea8dcb6d69762ebf2&amp;refType=LQ&amp;originationContext=document&amp;vr=3.0&amp;rs=cblt1.0&amp;transitionType=DocumentItem&amp;contextData=(sc.Keycite)" TargetMode="External"/><Relationship Id="rId36" Type="http://schemas.openxmlformats.org/officeDocument/2006/relationships/hyperlink" Target="https://www.westlaw.com/Link/Document/FullText?findType=L&amp;pubNum=1000043&amp;cite=MIST691.1402&amp;originatingDoc=I415ca8b0bc9311eea8dcb6d69762ebf2&amp;refType=LQ&amp;originationContext=document&amp;vr=3.0&amp;rs=cblt1.0&amp;transitionType=DocumentItem&amp;contextData=(sc.Keycite)" TargetMode="External"/><Relationship Id="rId49" Type="http://schemas.openxmlformats.org/officeDocument/2006/relationships/hyperlink" Target="https://www.westlaw.com/Link/Document/FullText?findType=Y&amp;serNum=0290694104&amp;pubNum=0101577&amp;originatingDoc=I415ca8b0bc9311eea8dcb6d69762ebf2&amp;refType=TS&amp;originationContext=document&amp;vr=3.0&amp;rs=cblt1.0&amp;transitionType=DocumentItem&amp;contextData=(sc.Keycite)" TargetMode="External"/><Relationship Id="rId57" Type="http://schemas.openxmlformats.org/officeDocument/2006/relationships/hyperlink" Target="https://www.westlaw.com/Link/Document/FullText?findType=Y&amp;serNum=2039587831&amp;pubNum=0000542&amp;originatingDoc=I415ca8b0bc9311eea8dcb6d69762ebf2&amp;refType=RP&amp;fi=co_pp_sp_542_474&amp;originationContext=document&amp;vr=3.0&amp;rs=cblt1.0&amp;transitionType=DocumentItem&amp;contextData=(sc.Keycite)" TargetMode="External"/><Relationship Id="rId10" Type="http://schemas.openxmlformats.org/officeDocument/2006/relationships/hyperlink" Target="https://www.westlaw.com/Link/Document/FullText?findType=h&amp;pubNum=176284&amp;cite=0391478201&amp;originatingDoc=I415ca8b0bc9311eea8dcb6d69762ebf2&amp;refType=RQ&amp;originationContext=document&amp;vr=3.0&amp;rs=cblt1.0&amp;transitionType=DocumentItem&amp;contextData=(sc.Keycite)" TargetMode="External"/><Relationship Id="rId31" Type="http://schemas.openxmlformats.org/officeDocument/2006/relationships/hyperlink" Target="https://www.westlaw.com/Link/Document/FullText?findType=Y&amp;serNum=2048678943&amp;pubNum=0000542&amp;originatingDoc=I415ca8b0bc9311eea8dcb6d69762ebf2&amp;refType=RP&amp;originationContext=document&amp;vr=3.0&amp;rs=cblt1.0&amp;transitionType=DocumentItem&amp;contextData=(sc.Keycite)" TargetMode="External"/><Relationship Id="rId44" Type="http://schemas.openxmlformats.org/officeDocument/2006/relationships/hyperlink" Target="https://www.westlaw.com/Link/Document/FullText?findType=Y&amp;serNum=2028320383&amp;pubNum=0000542&amp;originatingDoc=I415ca8b0bc9311eea8dcb6d69762ebf2&amp;refType=RP&amp;fi=co_pp_sp_542_461&amp;originationContext=document&amp;vr=3.0&amp;rs=cblt1.0&amp;transitionType=DocumentItem&amp;contextData=(sc.Keycite)" TargetMode="External"/><Relationship Id="rId52" Type="http://schemas.openxmlformats.org/officeDocument/2006/relationships/hyperlink" Target="https://www.westlaw.com/Link/Document/FullText?findType=Y&amp;serNum=2075768872&amp;pubNum=0004031&amp;originatingDoc=I415ca8b0bc9311eea8dcb6d69762ebf2&amp;refType=RP&amp;originationContext=document&amp;vr=3.0&amp;rs=cblt1.0&amp;transitionType=DocumentItem&amp;contextData=(sc.Keycite)"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westlaw.com/Link/Document/FullText?findType=h&amp;pubNum=176284&amp;cite=0139776201&amp;originatingDoc=I415ca8b0bc9311eea8dcb6d69762ebf2&amp;refType=RQ&amp;originationContext=document&amp;vr=3.0&amp;rs=cblt1.0&amp;transitionType=DocumentItem&amp;contextData=(sc.Keyci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BD7EDE344AF4AB2ABA91E2B63262F" ma:contentTypeVersion="17" ma:contentTypeDescription="Create a new document." ma:contentTypeScope="" ma:versionID="2c318d720b6acc8b930b77425404487c">
  <xsd:schema xmlns:xsd="http://www.w3.org/2001/XMLSchema" xmlns:xs="http://www.w3.org/2001/XMLSchema" xmlns:p="http://schemas.microsoft.com/office/2006/metadata/properties" xmlns:ns3="04c5ca7a-a5c9-48ef-961d-fab986c5cc46" xmlns:ns4="6f561f2e-b660-40b0-ba51-6d975c4c5a0d" targetNamespace="http://schemas.microsoft.com/office/2006/metadata/properties" ma:root="true" ma:fieldsID="92b84dc6731edab2ea6a8f8473dd814f" ns3:_="" ns4:_="">
    <xsd:import namespace="04c5ca7a-a5c9-48ef-961d-fab986c5cc46"/>
    <xsd:import namespace="6f561f2e-b660-40b0-ba51-6d975c4c5a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5ca7a-a5c9-48ef-961d-fab986c5c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61f2e-b660-40b0-ba51-6d975c4c5a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561f2e-b660-40b0-ba51-6d975c4c5a0d" xsi:nil="true"/>
  </documentManagement>
</p:properties>
</file>

<file path=customXml/itemProps1.xml><?xml version="1.0" encoding="utf-8"?>
<ds:datastoreItem xmlns:ds="http://schemas.openxmlformats.org/officeDocument/2006/customXml" ds:itemID="{F1C844F7-50BB-40DA-90FB-E0980C721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5ca7a-a5c9-48ef-961d-fab986c5cc46"/>
    <ds:schemaRef ds:uri="6f561f2e-b660-40b0-ba51-6d975c4c5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CC4BB-81C3-4ADE-8F67-931691D62BF5}">
  <ds:schemaRefs>
    <ds:schemaRef ds:uri="http://schemas.microsoft.com/sharepoint/v3/contenttype/forms"/>
  </ds:schemaRefs>
</ds:datastoreItem>
</file>

<file path=customXml/itemProps3.xml><?xml version="1.0" encoding="utf-8"?>
<ds:datastoreItem xmlns:ds="http://schemas.openxmlformats.org/officeDocument/2006/customXml" ds:itemID="{F5A5BED2-3F3E-46B2-BE7F-2BAF0306F364}">
  <ds:schemaRefs>
    <ds:schemaRef ds:uri="http://schemas.microsoft.com/office/2006/metadata/properties"/>
    <ds:schemaRef ds:uri="http://schemas.microsoft.com/office/infopath/2007/PartnerControls"/>
    <ds:schemaRef ds:uri="6f561f2e-b660-40b0-ba51-6d975c4c5a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4859</Words>
  <Characters>27697</Characters>
  <Application>Microsoft Office Word</Application>
  <DocSecurity>0</DocSecurity>
  <Lines>230</Lines>
  <Paragraphs>64</Paragraphs>
  <ScaleCrop>false</ScaleCrop>
  <Company>Cleveland State University</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Stump</cp:lastModifiedBy>
  <cp:revision>2</cp:revision>
  <dcterms:created xsi:type="dcterms:W3CDTF">2024-02-21T13:37:00Z</dcterms:created>
  <dcterms:modified xsi:type="dcterms:W3CDTF">2024-02-21T13:37:00Z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0x010100331BD7EDE344AF4AB2ABA91E2B63262F</vt:lpwstr>
  </property>
</Properties>
</file>