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1AA4B" w14:textId="77777777" w:rsidR="00C804DC" w:rsidRDefault="00C804DC">
      <w:pPr>
        <w:pBdr>
          <w:top w:val="none" w:sz="0" w:space="4" w:color="auto"/>
        </w:pBdr>
        <w:spacing w:after="0" w:line="275" w:lineRule="atLeast"/>
        <w:jc w:val="both"/>
      </w:pPr>
      <w:bookmarkStart w:id="0" w:name="I2b831990bc7d11ee9614e7cb54c94fa8_Targe"/>
      <w:bookmarkStart w:id="1" w:name="co_document_1"/>
      <w:bookmarkStart w:id="2" w:name="_GoBack"/>
      <w:bookmarkEnd w:id="0"/>
      <w:bookmarkEnd w:id="2"/>
    </w:p>
    <w:bookmarkEnd w:id="1"/>
    <w:p w14:paraId="674ED436" w14:textId="77777777" w:rsidR="00C804DC" w:rsidRDefault="0019355C">
      <w:pPr>
        <w:spacing w:after="0" w:line="275" w:lineRule="atLeast"/>
        <w:jc w:val="center"/>
      </w:pPr>
      <w:r>
        <w:rPr>
          <w:rFonts w:ascii="Georgia" w:hAnsi="Georgia"/>
          <w:color w:val="000000"/>
          <w:sz w:val="20"/>
        </w:rPr>
        <w:t>2024 WL 295264</w:t>
      </w:r>
    </w:p>
    <w:p w14:paraId="56301B12" w14:textId="77777777" w:rsidR="00C804DC" w:rsidRDefault="0019355C">
      <w:pPr>
        <w:spacing w:after="0" w:line="275" w:lineRule="atLeast"/>
        <w:jc w:val="center"/>
      </w:pPr>
      <w:r>
        <w:rPr>
          <w:rFonts w:ascii="Georgia" w:hAnsi="Georgia"/>
          <w:color w:val="000000"/>
          <w:sz w:val="20"/>
        </w:rPr>
        <w:t>Only the Westlaw citation is currently available.</w:t>
      </w:r>
    </w:p>
    <w:p w14:paraId="0E8B5A42" w14:textId="77777777" w:rsidR="00C804DC" w:rsidRDefault="0019355C">
      <w:pPr>
        <w:spacing w:before="200" w:after="0" w:line="275" w:lineRule="atLeast"/>
        <w:jc w:val="center"/>
      </w:pPr>
      <w:r>
        <w:rPr>
          <w:rFonts w:ascii="Georgia" w:hAnsi="Georgia"/>
          <w:color w:val="000000"/>
          <w:sz w:val="20"/>
        </w:rPr>
        <w:t>UNPUBLISHED OPINION. CHECK COURT RULES BEFORE CITING.</w:t>
      </w:r>
    </w:p>
    <w:p w14:paraId="13124BDA" w14:textId="77777777" w:rsidR="00C804DC" w:rsidRDefault="0019355C">
      <w:pPr>
        <w:spacing w:before="200" w:after="0" w:line="275" w:lineRule="atLeast"/>
        <w:jc w:val="center"/>
      </w:pPr>
      <w:r>
        <w:rPr>
          <w:rFonts w:ascii="Georgia" w:hAnsi="Georgia"/>
          <w:color w:val="000000"/>
          <w:sz w:val="20"/>
        </w:rPr>
        <w:t>UNPUBLISHED</w:t>
      </w:r>
    </w:p>
    <w:p w14:paraId="3FF4B4AD" w14:textId="77777777" w:rsidR="00C804DC" w:rsidRDefault="0019355C">
      <w:pPr>
        <w:spacing w:after="0" w:line="275" w:lineRule="atLeast"/>
        <w:jc w:val="center"/>
      </w:pPr>
      <w:r>
        <w:rPr>
          <w:rFonts w:ascii="Georgia" w:hAnsi="Georgia"/>
          <w:color w:val="000000"/>
          <w:sz w:val="20"/>
        </w:rPr>
        <w:t>Court of Appeals of Michigan.</w:t>
      </w:r>
    </w:p>
    <w:p w14:paraId="29C41974" w14:textId="77777777" w:rsidR="00C804DC" w:rsidRDefault="0019355C">
      <w:pPr>
        <w:spacing w:before="200" w:after="0" w:line="300" w:lineRule="atLeast"/>
        <w:ind w:left="100" w:right="100"/>
        <w:jc w:val="center"/>
      </w:pPr>
      <w:r>
        <w:rPr>
          <w:rFonts w:ascii="Georgia" w:hAnsi="Georgia"/>
          <w:color w:val="252525"/>
          <w:sz w:val="20"/>
        </w:rPr>
        <w:t>Michelle WHITAKER, Plaintiff-Appellee,</w:t>
      </w:r>
    </w:p>
    <w:p w14:paraId="6311515A" w14:textId="77777777" w:rsidR="00C804DC" w:rsidRDefault="0019355C">
      <w:pPr>
        <w:spacing w:after="0" w:line="300" w:lineRule="atLeast"/>
        <w:ind w:left="100" w:right="100"/>
        <w:jc w:val="center"/>
      </w:pPr>
      <w:r>
        <w:rPr>
          <w:rFonts w:ascii="Georgia" w:hAnsi="Georgia"/>
          <w:color w:val="252525"/>
          <w:sz w:val="20"/>
        </w:rPr>
        <w:t>v.</w:t>
      </w:r>
    </w:p>
    <w:p w14:paraId="2A6ADE36" w14:textId="77777777" w:rsidR="00C804DC" w:rsidRDefault="0019355C">
      <w:pPr>
        <w:spacing w:after="0" w:line="300" w:lineRule="atLeast"/>
        <w:ind w:left="100" w:right="100"/>
        <w:jc w:val="center"/>
      </w:pPr>
      <w:r>
        <w:rPr>
          <w:rFonts w:ascii="Georgia" w:hAnsi="Georgia"/>
          <w:color w:val="252525"/>
          <w:sz w:val="20"/>
        </w:rPr>
        <w:t xml:space="preserve">MEIJER INC., </w:t>
      </w:r>
      <w:r>
        <w:rPr>
          <w:rFonts w:ascii="Georgia" w:hAnsi="Georgia"/>
          <w:color w:val="252525"/>
          <w:sz w:val="20"/>
        </w:rPr>
        <w:t>Defendant-Appellant.</w:t>
      </w:r>
    </w:p>
    <w:p w14:paraId="60DB8266" w14:textId="77777777" w:rsidR="00C804DC" w:rsidRDefault="0019355C">
      <w:pPr>
        <w:pBdr>
          <w:left w:val="none" w:sz="0" w:space="8" w:color="auto"/>
        </w:pBdr>
        <w:spacing w:before="200" w:after="0" w:line="275" w:lineRule="atLeast"/>
        <w:ind w:left="150"/>
        <w:jc w:val="center"/>
      </w:pPr>
      <w:r>
        <w:rPr>
          <w:rFonts w:ascii="Georgia" w:hAnsi="Georgia"/>
          <w:color w:val="000000"/>
          <w:sz w:val="20"/>
        </w:rPr>
        <w:t>No. 363242</w:t>
      </w:r>
    </w:p>
    <w:p w14:paraId="60267984" w14:textId="77777777" w:rsidR="00C804DC" w:rsidRDefault="0019355C">
      <w:pPr>
        <w:pBdr>
          <w:left w:val="none" w:sz="0" w:space="8" w:color="auto"/>
        </w:pBdr>
        <w:spacing w:after="0" w:line="275" w:lineRule="atLeast"/>
        <w:ind w:left="150"/>
        <w:jc w:val="center"/>
      </w:pPr>
      <w:r>
        <w:rPr>
          <w:rFonts w:ascii="Georgia" w:hAnsi="Georgia"/>
          <w:color w:val="000000"/>
          <w:sz w:val="20"/>
        </w:rPr>
        <w:t>|</w:t>
      </w:r>
    </w:p>
    <w:p w14:paraId="3F109D76" w14:textId="77777777" w:rsidR="00C804DC" w:rsidRDefault="0019355C">
      <w:pPr>
        <w:pBdr>
          <w:left w:val="none" w:sz="0" w:space="8" w:color="auto"/>
        </w:pBdr>
        <w:spacing w:after="0" w:line="275" w:lineRule="atLeast"/>
        <w:ind w:left="150"/>
        <w:jc w:val="center"/>
      </w:pPr>
      <w:r>
        <w:rPr>
          <w:rFonts w:ascii="Georgia" w:hAnsi="Georgia"/>
          <w:color w:val="000000"/>
          <w:sz w:val="20"/>
        </w:rPr>
        <w:t>January 25, 2024</w:t>
      </w:r>
    </w:p>
    <w:p w14:paraId="7B758FE8" w14:textId="77777777" w:rsidR="00C804DC" w:rsidRDefault="0019355C">
      <w:pPr>
        <w:spacing w:before="400" w:after="0" w:line="275" w:lineRule="atLeast"/>
        <w:jc w:val="both"/>
      </w:pPr>
      <w:r>
        <w:rPr>
          <w:rFonts w:ascii="Times New Roman" w:hAnsi="Times New Roman"/>
          <w:color w:val="000000"/>
          <w:sz w:val="20"/>
        </w:rPr>
        <w:t>Eaton Circuit Court, LC No. 21-000644-NO</w:t>
      </w:r>
    </w:p>
    <w:p w14:paraId="681EA187" w14:textId="77777777" w:rsidR="00C804DC" w:rsidRDefault="0019355C">
      <w:pPr>
        <w:spacing w:after="0" w:line="275" w:lineRule="atLeast"/>
        <w:jc w:val="both"/>
      </w:pPr>
      <w:r>
        <w:rPr>
          <w:rFonts w:ascii="Times New Roman" w:hAnsi="Times New Roman"/>
          <w:color w:val="000000"/>
          <w:sz w:val="20"/>
        </w:rPr>
        <w:t xml:space="preserve">Before: </w:t>
      </w:r>
      <w:hyperlink r:id="rId9">
        <w:r>
          <w:rPr>
            <w:rFonts w:ascii="Times New Roman" w:hAnsi="Times New Roman"/>
            <w:color w:val="0E568C"/>
            <w:sz w:val="20"/>
          </w:rPr>
          <w:t>Garrett</w:t>
        </w:r>
      </w:hyperlink>
      <w:r>
        <w:rPr>
          <w:rFonts w:ascii="Times New Roman" w:hAnsi="Times New Roman"/>
          <w:color w:val="000000"/>
          <w:sz w:val="20"/>
        </w:rPr>
        <w:t xml:space="preserve">, P.J., and </w:t>
      </w:r>
      <w:hyperlink r:id="rId10">
        <w:r>
          <w:rPr>
            <w:rFonts w:ascii="Times New Roman" w:hAnsi="Times New Roman"/>
            <w:color w:val="0E568C"/>
            <w:sz w:val="20"/>
          </w:rPr>
          <w:t>Letica</w:t>
        </w:r>
      </w:hyperlink>
      <w:r>
        <w:rPr>
          <w:rFonts w:ascii="Times New Roman" w:hAnsi="Times New Roman"/>
          <w:color w:val="000000"/>
          <w:sz w:val="20"/>
        </w:rPr>
        <w:t xml:space="preserve"> and </w:t>
      </w:r>
      <w:hyperlink r:id="rId11">
        <w:r>
          <w:rPr>
            <w:rFonts w:ascii="Times New Roman" w:hAnsi="Times New Roman"/>
            <w:color w:val="0E568C"/>
            <w:sz w:val="20"/>
          </w:rPr>
          <w:t>Maldonado</w:t>
        </w:r>
      </w:hyperlink>
      <w:r>
        <w:rPr>
          <w:rFonts w:ascii="Times New Roman" w:hAnsi="Times New Roman"/>
          <w:color w:val="000000"/>
          <w:sz w:val="20"/>
        </w:rPr>
        <w:t>, JJ.</w:t>
      </w:r>
    </w:p>
    <w:p w14:paraId="7A27A7C2" w14:textId="77777777" w:rsidR="00C804DC" w:rsidRDefault="0019355C">
      <w:pPr>
        <w:keepNext/>
        <w:keepLines/>
        <w:spacing w:before="200" w:after="0" w:line="275" w:lineRule="atLeast"/>
        <w:jc w:val="both"/>
      </w:pPr>
      <w:bookmarkStart w:id="3" w:name="co_opinion_1"/>
      <w:r>
        <w:rPr>
          <w:rFonts w:ascii="Times New Roman" w:hAnsi="Times New Roman"/>
          <w:b/>
          <w:color w:val="212121"/>
          <w:sz w:val="20"/>
        </w:rPr>
        <w:t>Opinion</w:t>
      </w:r>
    </w:p>
    <w:p w14:paraId="5E5BB702" w14:textId="77777777" w:rsidR="00C804DC" w:rsidRDefault="0019355C">
      <w:pPr>
        <w:spacing w:before="200" w:after="0" w:line="275" w:lineRule="atLeast"/>
        <w:jc w:val="both"/>
      </w:pPr>
      <w:bookmarkStart w:id="4" w:name="co_anchor_I8ccefaccbcc811ee96a5a88dbd30"/>
      <w:bookmarkEnd w:id="3"/>
      <w:r>
        <w:rPr>
          <w:rFonts w:ascii="Times New Roman" w:hAnsi="Times New Roman"/>
          <w:color w:val="000000"/>
          <w:sz w:val="20"/>
        </w:rPr>
        <w:t xml:space="preserve">Per </w:t>
      </w:r>
      <w:proofErr w:type="spellStart"/>
      <w:r>
        <w:rPr>
          <w:rFonts w:ascii="Times New Roman" w:hAnsi="Times New Roman"/>
          <w:color w:val="000000"/>
          <w:sz w:val="20"/>
        </w:rPr>
        <w:t>Curiam</w:t>
      </w:r>
      <w:proofErr w:type="spellEnd"/>
      <w:r>
        <w:rPr>
          <w:rFonts w:ascii="Times New Roman" w:hAnsi="Times New Roman"/>
          <w:color w:val="000000"/>
          <w:sz w:val="20"/>
        </w:rPr>
        <w:t>.</w:t>
      </w:r>
    </w:p>
    <w:p w14:paraId="7F88B98A" w14:textId="77777777" w:rsidR="00C804DC" w:rsidRDefault="0019355C">
      <w:pPr>
        <w:spacing w:before="200" w:after="0" w:line="275" w:lineRule="atLeast"/>
        <w:jc w:val="both"/>
      </w:pPr>
      <w:bookmarkStart w:id="5" w:name="co_pp_sp_999_1_1"/>
      <w:bookmarkStart w:id="6" w:name="co_anchor_I8cd5ffa2bcc811ee96a5a88dbd30"/>
      <w:bookmarkEnd w:id="4"/>
      <w:r>
        <w:rPr>
          <w:rFonts w:ascii="Times New Roman" w:hAnsi="Times New Roman"/>
          <w:b/>
          <w:color w:val="000000"/>
          <w:sz w:val="20"/>
        </w:rPr>
        <w:t>*1</w:t>
      </w:r>
      <w:bookmarkEnd w:id="5"/>
      <w:r>
        <w:rPr>
          <w:rFonts w:ascii="Times New Roman" w:hAnsi="Times New Roman"/>
          <w:color w:val="000000"/>
          <w:sz w:val="20"/>
        </w:rPr>
        <w:t xml:space="preserve"> In this slip-and-fall case, defendant appeals by leave granted</w:t>
      </w:r>
      <w:bookmarkStart w:id="7" w:name="co_fnRef_B00012078452073_ID0E4AAC_1"/>
      <w:r>
        <w:fldChar w:fldCharType="begin"/>
      </w:r>
      <w:r>
        <w:instrText xml:space="preserve"> HYPERLINK \l "co_footnote_B00012078452073_1" \h </w:instrText>
      </w:r>
      <w:r>
        <w:fldChar w:fldCharType="separate"/>
      </w:r>
      <w:r>
        <w:rPr>
          <w:rFonts w:ascii="Times New Roman" w:hAnsi="Times New Roman"/>
          <w:color w:val="0E568C"/>
          <w:sz w:val="16"/>
          <w:vertAlign w:val="superscript"/>
        </w:rPr>
        <w:t>1</w:t>
      </w:r>
      <w:r>
        <w:rPr>
          <w:rFonts w:ascii="Times New Roman" w:hAnsi="Times New Roman"/>
          <w:color w:val="0E568C"/>
          <w:sz w:val="16"/>
          <w:vertAlign w:val="superscript"/>
        </w:rPr>
        <w:fldChar w:fldCharType="end"/>
      </w:r>
      <w:bookmarkEnd w:id="7"/>
      <w:r>
        <w:rPr>
          <w:rFonts w:ascii="Times New Roman" w:hAnsi="Times New Roman"/>
          <w:color w:val="000000"/>
          <w:sz w:val="20"/>
        </w:rPr>
        <w:t xml:space="preserve"> the trial court's order denying its motion for </w:t>
      </w:r>
      <w:r>
        <w:rPr>
          <w:rFonts w:ascii="Times New Roman" w:hAnsi="Times New Roman"/>
          <w:color w:val="000000"/>
          <w:sz w:val="20"/>
        </w:rPr>
        <w:t xml:space="preserve">summary disposition, which was made pursuant to </w:t>
      </w:r>
      <w:hyperlink r:id="rId12">
        <w:r>
          <w:rPr>
            <w:rFonts w:ascii="Times New Roman" w:hAnsi="Times New Roman"/>
            <w:color w:val="0E568C"/>
            <w:sz w:val="20"/>
          </w:rPr>
          <w:t>MCR 2.116(C)(10)</w:t>
        </w:r>
      </w:hyperlink>
      <w:r>
        <w:rPr>
          <w:rFonts w:ascii="Times New Roman" w:hAnsi="Times New Roman"/>
          <w:color w:val="000000"/>
          <w:sz w:val="20"/>
        </w:rPr>
        <w:t xml:space="preserve"> (no genuine issue of material fact). Because there is no evidence upon which a rational fact finder could conclude that defendant had notice of the hazard, we reverse the trial </w:t>
      </w:r>
      <w:r>
        <w:rPr>
          <w:rFonts w:ascii="Times New Roman" w:hAnsi="Times New Roman"/>
          <w:color w:val="000000"/>
          <w:sz w:val="20"/>
        </w:rPr>
        <w:t>court's denial of defendant's motion for summary disposition and remand for entry of an order granting defendant's motion for summary disposition.</w:t>
      </w:r>
    </w:p>
    <w:bookmarkEnd w:id="6"/>
    <w:p w14:paraId="3B42DFF7" w14:textId="77777777" w:rsidR="00C804DC" w:rsidRDefault="0019355C">
      <w:pPr>
        <w:spacing w:after="0" w:line="275" w:lineRule="atLeast"/>
        <w:jc w:val="both"/>
      </w:pPr>
      <w:r>
        <w:rPr>
          <w:rFonts w:ascii="Times New Roman" w:hAnsi="Times New Roman"/>
          <w:color w:val="000000"/>
          <w:sz w:val="20"/>
        </w:rPr>
        <w:t> </w:t>
      </w:r>
    </w:p>
    <w:p w14:paraId="0F96D1E3" w14:textId="77777777" w:rsidR="00C804DC" w:rsidRDefault="0019355C">
      <w:pPr>
        <w:spacing w:before="400" w:after="0" w:line="275" w:lineRule="atLeast"/>
        <w:jc w:val="center"/>
      </w:pPr>
      <w:bookmarkStart w:id="8" w:name="co_anchor_I8cd6c2f1bcc811ee96a5a88dbd30"/>
      <w:r>
        <w:rPr>
          <w:rFonts w:ascii="Times New Roman" w:hAnsi="Times New Roman"/>
          <w:color w:val="000000"/>
          <w:sz w:val="20"/>
        </w:rPr>
        <w:t>I. BACKGROUND</w:t>
      </w:r>
    </w:p>
    <w:bookmarkEnd w:id="8"/>
    <w:p w14:paraId="27FEAC10" w14:textId="77777777" w:rsidR="00C804DC" w:rsidRDefault="0019355C">
      <w:pPr>
        <w:spacing w:before="200" w:after="0" w:line="275" w:lineRule="atLeast"/>
        <w:jc w:val="both"/>
      </w:pPr>
      <w:r>
        <w:rPr>
          <w:rFonts w:ascii="Times New Roman" w:hAnsi="Times New Roman"/>
          <w:color w:val="000000"/>
          <w:sz w:val="20"/>
        </w:rPr>
        <w:t xml:space="preserve">The underlying facts giving rise to this dispute are simple. Plaintiff was at a Meijer store </w:t>
      </w:r>
      <w:r>
        <w:rPr>
          <w:rFonts w:ascii="Times New Roman" w:hAnsi="Times New Roman"/>
          <w:color w:val="000000"/>
          <w:sz w:val="20"/>
        </w:rPr>
        <w:t xml:space="preserve">with her fiancé. While in the health and beauty section of the store, plaintiff rounded a corner to enter a different aisle, and she slipped on an unidentified liquid that she described as being a “yellowish-brown” color. Plaintiff was injured and filed a </w:t>
      </w:r>
      <w:r>
        <w:rPr>
          <w:rFonts w:ascii="Times New Roman" w:hAnsi="Times New Roman"/>
          <w:color w:val="000000"/>
          <w:sz w:val="20"/>
        </w:rPr>
        <w:t xml:space="preserve">premises </w:t>
      </w:r>
      <w:r>
        <w:rPr>
          <w:rFonts w:ascii="Times New Roman" w:hAnsi="Times New Roman"/>
          <w:color w:val="000000"/>
          <w:sz w:val="20"/>
        </w:rPr>
        <w:t>liability suit. Because the nearby security camera was inoperable, there was no way for plaintiff to ascertain how long the liquid was present. Nevertheless, when denying defendant's motion for summary disposition, the trial court concluded that t</w:t>
      </w:r>
      <w:r>
        <w:rPr>
          <w:rFonts w:ascii="Times New Roman" w:hAnsi="Times New Roman"/>
          <w:color w:val="000000"/>
          <w:sz w:val="20"/>
        </w:rPr>
        <w:t>he nature of the liquid was such that a reasonable trier of fact could infer that defendant had constructive notice.</w:t>
      </w:r>
      <w:bookmarkStart w:id="9" w:name="co_fnRef_B00022078452073_ID0EKDAC_1"/>
      <w:r>
        <w:fldChar w:fldCharType="begin"/>
      </w:r>
      <w:r>
        <w:instrText xml:space="preserve"> HYPERLINK \l "co_footnote_B00022078452073_1" \h </w:instrText>
      </w:r>
      <w:r>
        <w:fldChar w:fldCharType="separate"/>
      </w:r>
      <w:r>
        <w:rPr>
          <w:rFonts w:ascii="Times New Roman" w:hAnsi="Times New Roman"/>
          <w:color w:val="0E568C"/>
          <w:sz w:val="16"/>
          <w:vertAlign w:val="superscript"/>
        </w:rPr>
        <w:t>2</w:t>
      </w:r>
      <w:r>
        <w:rPr>
          <w:rFonts w:ascii="Times New Roman" w:hAnsi="Times New Roman"/>
          <w:color w:val="0E568C"/>
          <w:sz w:val="16"/>
          <w:vertAlign w:val="superscript"/>
        </w:rPr>
        <w:fldChar w:fldCharType="end"/>
      </w:r>
      <w:bookmarkEnd w:id="9"/>
      <w:r>
        <w:rPr>
          <w:rFonts w:ascii="Times New Roman" w:hAnsi="Times New Roman"/>
          <w:color w:val="000000"/>
          <w:sz w:val="20"/>
        </w:rPr>
        <w:t xml:space="preserve"> After its motions for summary disposition and reconsideration were denied, defendant sought leave to appeal in this Court.</w:t>
      </w:r>
    </w:p>
    <w:p w14:paraId="701B96EF" w14:textId="77777777" w:rsidR="00C804DC" w:rsidRDefault="0019355C">
      <w:pPr>
        <w:spacing w:after="0" w:line="275" w:lineRule="atLeast"/>
        <w:jc w:val="both"/>
      </w:pPr>
      <w:r>
        <w:rPr>
          <w:rFonts w:ascii="Times New Roman" w:hAnsi="Times New Roman"/>
          <w:color w:val="000000"/>
          <w:sz w:val="20"/>
        </w:rPr>
        <w:t> </w:t>
      </w:r>
    </w:p>
    <w:p w14:paraId="6D7A46B5" w14:textId="77777777" w:rsidR="00C804DC" w:rsidRDefault="0019355C">
      <w:pPr>
        <w:spacing w:before="400" w:after="0" w:line="275" w:lineRule="atLeast"/>
        <w:jc w:val="center"/>
      </w:pPr>
      <w:bookmarkStart w:id="10" w:name="co_anchor_I8cd7ad51bcc811ee96a5a88dbd30"/>
      <w:r>
        <w:rPr>
          <w:rFonts w:ascii="Times New Roman" w:hAnsi="Times New Roman"/>
          <w:color w:val="000000"/>
          <w:sz w:val="20"/>
        </w:rPr>
        <w:t>II. DISCUSSION</w:t>
      </w:r>
    </w:p>
    <w:bookmarkEnd w:id="10"/>
    <w:p w14:paraId="06F77F93" w14:textId="77777777" w:rsidR="00C804DC" w:rsidRDefault="0019355C">
      <w:pPr>
        <w:spacing w:before="200" w:after="0" w:line="275" w:lineRule="atLeast"/>
        <w:jc w:val="both"/>
      </w:pPr>
      <w:r>
        <w:rPr>
          <w:rFonts w:ascii="Times New Roman" w:hAnsi="Times New Roman"/>
          <w:color w:val="000000"/>
          <w:sz w:val="20"/>
        </w:rPr>
        <w:t>Defendant argues that the trial court erred by concluding that the record could support a finding that defendant ha</w:t>
      </w:r>
      <w:r>
        <w:rPr>
          <w:rFonts w:ascii="Times New Roman" w:hAnsi="Times New Roman"/>
          <w:color w:val="000000"/>
          <w:sz w:val="20"/>
        </w:rPr>
        <w:t>d constructive notice of the hazardous condition. We agree.</w:t>
      </w:r>
    </w:p>
    <w:p w14:paraId="5FE5DA94" w14:textId="77777777" w:rsidR="00C804DC" w:rsidRDefault="0019355C">
      <w:pPr>
        <w:spacing w:after="0" w:line="275" w:lineRule="atLeast"/>
        <w:jc w:val="both"/>
      </w:pPr>
      <w:r>
        <w:rPr>
          <w:rFonts w:ascii="Times New Roman" w:hAnsi="Times New Roman"/>
          <w:color w:val="000000"/>
          <w:sz w:val="20"/>
        </w:rPr>
        <w:t> </w:t>
      </w:r>
    </w:p>
    <w:p w14:paraId="0FFF581B" w14:textId="77777777" w:rsidR="00C804DC" w:rsidRDefault="0019355C">
      <w:pPr>
        <w:spacing w:after="0" w:line="275" w:lineRule="atLeast"/>
        <w:jc w:val="both"/>
      </w:pPr>
      <w:r>
        <w:rPr>
          <w:rFonts w:ascii="Times New Roman" w:hAnsi="Times New Roman"/>
          <w:color w:val="000000"/>
          <w:sz w:val="20"/>
        </w:rPr>
        <w:t xml:space="preserve">This Court reviews de novo a trial court's decision to grant or deny a motion for summary disposition, and the evidence is viewed in a light most favorable to the nonmoving party. </w:t>
      </w:r>
      <w:hyperlink r:id="rId13" w:anchor="co_pp_sp_542_183">
        <w:r>
          <w:rPr>
            <w:rFonts w:ascii="Times New Roman" w:hAnsi="Times New Roman"/>
            <w:i/>
            <w:color w:val="0E568C"/>
            <w:sz w:val="20"/>
          </w:rPr>
          <w:t>West v Gen Motors Corp</w:t>
        </w:r>
        <w:r>
          <w:rPr>
            <w:rFonts w:ascii="Times New Roman" w:hAnsi="Times New Roman"/>
            <w:color w:val="0E568C"/>
            <w:sz w:val="20"/>
          </w:rPr>
          <w:t xml:space="preserve">, 469 </w:t>
        </w:r>
        <w:proofErr w:type="spellStart"/>
        <w:r>
          <w:rPr>
            <w:rFonts w:ascii="Times New Roman" w:hAnsi="Times New Roman"/>
            <w:color w:val="0E568C"/>
            <w:sz w:val="20"/>
          </w:rPr>
          <w:t>Mich</w:t>
        </w:r>
        <w:proofErr w:type="spellEnd"/>
        <w:r>
          <w:rPr>
            <w:rFonts w:ascii="Times New Roman" w:hAnsi="Times New Roman"/>
            <w:color w:val="0E568C"/>
            <w:sz w:val="20"/>
          </w:rPr>
          <w:t xml:space="preserve"> 177, 183; 665 NW2d 468 (2003)</w:t>
        </w:r>
      </w:hyperlink>
      <w:r>
        <w:rPr>
          <w:rFonts w:ascii="Times New Roman" w:hAnsi="Times New Roman"/>
          <w:color w:val="000000"/>
          <w:sz w:val="20"/>
        </w:rPr>
        <w:t xml:space="preserve">. Summary disposition should be granted pursuant to </w:t>
      </w:r>
      <w:hyperlink r:id="rId14">
        <w:r>
          <w:rPr>
            <w:rFonts w:ascii="Times New Roman" w:hAnsi="Times New Roman"/>
            <w:color w:val="0E568C"/>
            <w:sz w:val="20"/>
          </w:rPr>
          <w:t>MCR 2.116(C)(10)</w:t>
        </w:r>
      </w:hyperlink>
      <w:r>
        <w:rPr>
          <w:rFonts w:ascii="Times New Roman" w:hAnsi="Times New Roman"/>
          <w:color w:val="000000"/>
          <w:sz w:val="20"/>
        </w:rPr>
        <w:t xml:space="preserve"> when the evidence reveals no genuine issue of material fact. </w:t>
      </w:r>
      <w:r>
        <w:rPr>
          <w:rFonts w:ascii="Times New Roman" w:hAnsi="Times New Roman"/>
          <w:i/>
          <w:color w:val="000000"/>
          <w:sz w:val="20"/>
        </w:rPr>
        <w:t>Id.</w:t>
      </w:r>
      <w:r>
        <w:rPr>
          <w:rFonts w:ascii="Times New Roman" w:hAnsi="Times New Roman"/>
          <w:color w:val="000000"/>
          <w:sz w:val="20"/>
        </w:rPr>
        <w:t xml:space="preserve"> “A gen</w:t>
      </w:r>
      <w:r>
        <w:rPr>
          <w:rFonts w:ascii="Times New Roman" w:hAnsi="Times New Roman"/>
          <w:color w:val="000000"/>
          <w:sz w:val="20"/>
        </w:rPr>
        <w:t xml:space="preserve">uine issue of material fact exists when the record, giving the benefit of reasonable doubt to the opposing party, leaves open an issue upon which reasonable minds might differ.” </w:t>
      </w:r>
      <w:r>
        <w:rPr>
          <w:rFonts w:ascii="Times New Roman" w:hAnsi="Times New Roman"/>
          <w:i/>
          <w:color w:val="000000"/>
          <w:sz w:val="20"/>
        </w:rPr>
        <w:t>Id.</w:t>
      </w:r>
    </w:p>
    <w:p w14:paraId="51E3AC58" w14:textId="77777777" w:rsidR="00C804DC" w:rsidRDefault="0019355C">
      <w:pPr>
        <w:spacing w:after="0" w:line="275" w:lineRule="atLeast"/>
        <w:jc w:val="both"/>
      </w:pPr>
      <w:r>
        <w:rPr>
          <w:rFonts w:ascii="Times New Roman" w:hAnsi="Times New Roman"/>
          <w:color w:val="000000"/>
          <w:sz w:val="20"/>
        </w:rPr>
        <w:t> </w:t>
      </w:r>
    </w:p>
    <w:p w14:paraId="26579013" w14:textId="77777777" w:rsidR="00C804DC" w:rsidRDefault="0019355C">
      <w:pPr>
        <w:spacing w:after="0" w:line="275" w:lineRule="atLeast"/>
        <w:jc w:val="both"/>
      </w:pPr>
      <w:r>
        <w:rPr>
          <w:rFonts w:ascii="Times New Roman" w:hAnsi="Times New Roman"/>
          <w:color w:val="000000"/>
          <w:sz w:val="20"/>
        </w:rPr>
        <w:t>To establish a premises liability claim, plaintiff must establish the el</w:t>
      </w:r>
      <w:r>
        <w:rPr>
          <w:rFonts w:ascii="Times New Roman" w:hAnsi="Times New Roman"/>
          <w:color w:val="000000"/>
          <w:sz w:val="20"/>
        </w:rPr>
        <w:t xml:space="preserve">ements of negligence. </w:t>
      </w:r>
      <w:hyperlink r:id="rId15" w:anchor="co_pp_sp_543_693">
        <w:proofErr w:type="spellStart"/>
        <w:r>
          <w:rPr>
            <w:rFonts w:ascii="Times New Roman" w:hAnsi="Times New Roman"/>
            <w:i/>
            <w:color w:val="0E568C"/>
            <w:sz w:val="20"/>
          </w:rPr>
          <w:t>Buhalis</w:t>
        </w:r>
        <w:proofErr w:type="spellEnd"/>
        <w:r>
          <w:rPr>
            <w:rFonts w:ascii="Times New Roman" w:hAnsi="Times New Roman"/>
            <w:i/>
            <w:color w:val="0E568C"/>
            <w:sz w:val="20"/>
          </w:rPr>
          <w:t xml:space="preserve"> v Trinity Continuing Care Servs</w:t>
        </w:r>
        <w:r>
          <w:rPr>
            <w:rFonts w:ascii="Times New Roman" w:hAnsi="Times New Roman"/>
            <w:color w:val="0E568C"/>
            <w:sz w:val="20"/>
          </w:rPr>
          <w:t xml:space="preserve">, 296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685, 693; 822 NW2d 254 (2012)</w:t>
        </w:r>
      </w:hyperlink>
      <w:r>
        <w:rPr>
          <w:rFonts w:ascii="Times New Roman" w:hAnsi="Times New Roman"/>
          <w:color w:val="000000"/>
          <w:sz w:val="20"/>
        </w:rPr>
        <w:t>. Negligence requires proof of the following elements: “(1) the defendant owed the plaintiff a du</w:t>
      </w:r>
      <w:r>
        <w:rPr>
          <w:rFonts w:ascii="Times New Roman" w:hAnsi="Times New Roman"/>
          <w:color w:val="000000"/>
          <w:sz w:val="20"/>
        </w:rPr>
        <w:t xml:space="preserve">ty, (2) the defendant breached that duty, (3) the breach was the proximate cause of the plaintiff's injury, and (4) the plaintiff suffered damages.” </w:t>
      </w:r>
      <w:r>
        <w:rPr>
          <w:rFonts w:ascii="Times New Roman" w:hAnsi="Times New Roman"/>
          <w:i/>
          <w:color w:val="000000"/>
          <w:sz w:val="20"/>
        </w:rPr>
        <w:t>Id.</w:t>
      </w:r>
      <w:r>
        <w:rPr>
          <w:rFonts w:ascii="Times New Roman" w:hAnsi="Times New Roman"/>
          <w:color w:val="000000"/>
          <w:sz w:val="20"/>
        </w:rPr>
        <w:t xml:space="preserve"> (quotation marks and citation omitted). “Generally, an owner of land owes a duty to an invitee to exerc</w:t>
      </w:r>
      <w:r>
        <w:rPr>
          <w:rFonts w:ascii="Times New Roman" w:hAnsi="Times New Roman"/>
          <w:color w:val="000000"/>
          <w:sz w:val="20"/>
        </w:rPr>
        <w:t xml:space="preserve">ise reasonable care to protect the invitee from an unreasonable risk of harm caused by a dangerous condition on the land.” </w:t>
      </w:r>
      <w:r>
        <w:rPr>
          <w:rFonts w:ascii="Times New Roman" w:hAnsi="Times New Roman"/>
          <w:i/>
          <w:color w:val="000000"/>
          <w:sz w:val="20"/>
        </w:rPr>
        <w:t>Id.</w:t>
      </w:r>
      <w:r>
        <w:rPr>
          <w:rFonts w:ascii="Times New Roman" w:hAnsi="Times New Roman"/>
          <w:color w:val="000000"/>
          <w:sz w:val="20"/>
        </w:rPr>
        <w:t xml:space="preserve"> (quotation marks and citation omitted).</w:t>
      </w:r>
    </w:p>
    <w:p w14:paraId="083EF628" w14:textId="77777777" w:rsidR="00C804DC" w:rsidRDefault="0019355C">
      <w:pPr>
        <w:spacing w:after="0" w:line="275" w:lineRule="atLeast"/>
        <w:jc w:val="both"/>
      </w:pPr>
      <w:r>
        <w:rPr>
          <w:rFonts w:ascii="Times New Roman" w:hAnsi="Times New Roman"/>
          <w:color w:val="000000"/>
          <w:sz w:val="20"/>
        </w:rPr>
        <w:t> </w:t>
      </w:r>
    </w:p>
    <w:p w14:paraId="72761A6B" w14:textId="77777777" w:rsidR="00C804DC" w:rsidRDefault="0019355C">
      <w:pPr>
        <w:spacing w:after="0" w:line="275" w:lineRule="atLeast"/>
        <w:jc w:val="both"/>
      </w:pPr>
      <w:bookmarkStart w:id="11" w:name="co_pp_sp_999_2_1"/>
      <w:r>
        <w:rPr>
          <w:rFonts w:ascii="Times New Roman" w:hAnsi="Times New Roman"/>
          <w:b/>
          <w:color w:val="000000"/>
          <w:sz w:val="20"/>
        </w:rPr>
        <w:lastRenderedPageBreak/>
        <w:t>*2</w:t>
      </w:r>
      <w:bookmarkEnd w:id="11"/>
      <w:r>
        <w:rPr>
          <w:rFonts w:ascii="Times New Roman" w:hAnsi="Times New Roman"/>
          <w:color w:val="000000"/>
          <w:sz w:val="20"/>
        </w:rPr>
        <w:t xml:space="preserve"> The plaintiff has the burden to prove that the defendant had actual or constructive </w:t>
      </w:r>
      <w:r>
        <w:rPr>
          <w:rFonts w:ascii="Times New Roman" w:hAnsi="Times New Roman"/>
          <w:color w:val="000000"/>
          <w:sz w:val="20"/>
        </w:rPr>
        <w:t xml:space="preserve">notice, and the defendant is entitled to summary disposition if the defendant is able to demonstrate “that [the] plaintiff failed to present sufficient evidence of notice.” </w:t>
      </w:r>
      <w:hyperlink r:id="rId16" w:anchor="co_pp_sp_542_10">
        <w:proofErr w:type="spellStart"/>
        <w:r>
          <w:rPr>
            <w:rFonts w:ascii="Times New Roman" w:hAnsi="Times New Roman"/>
            <w:i/>
            <w:color w:val="0E568C"/>
            <w:sz w:val="20"/>
          </w:rPr>
          <w:t>Lowrey</w:t>
        </w:r>
        <w:proofErr w:type="spellEnd"/>
        <w:r>
          <w:rPr>
            <w:rFonts w:ascii="Times New Roman" w:hAnsi="Times New Roman"/>
            <w:i/>
            <w:color w:val="0E568C"/>
            <w:sz w:val="20"/>
          </w:rPr>
          <w:t xml:space="preserve"> v LMPS &amp; LMPJ, Inc</w:t>
        </w:r>
        <w:r>
          <w:rPr>
            <w:rFonts w:ascii="Times New Roman" w:hAnsi="Times New Roman"/>
            <w:color w:val="0E568C"/>
            <w:sz w:val="20"/>
          </w:rPr>
          <w:t xml:space="preserve">, 500 </w:t>
        </w:r>
        <w:proofErr w:type="spellStart"/>
        <w:r>
          <w:rPr>
            <w:rFonts w:ascii="Times New Roman" w:hAnsi="Times New Roman"/>
            <w:color w:val="0E568C"/>
            <w:sz w:val="20"/>
          </w:rPr>
          <w:t>Mich</w:t>
        </w:r>
        <w:proofErr w:type="spellEnd"/>
        <w:r>
          <w:rPr>
            <w:rFonts w:ascii="Times New Roman" w:hAnsi="Times New Roman"/>
            <w:color w:val="0E568C"/>
            <w:sz w:val="20"/>
          </w:rPr>
          <w:t xml:space="preserve"> 1, 10; 890 NW2d 344 (2016)</w:t>
        </w:r>
      </w:hyperlink>
      <w:r>
        <w:rPr>
          <w:rFonts w:ascii="Times New Roman" w:hAnsi="Times New Roman"/>
          <w:color w:val="000000"/>
          <w:sz w:val="20"/>
        </w:rPr>
        <w:t xml:space="preserve">. It is not necessary for “a defendant to present evidence of a routine or reasonable inspection ... to prove a premises owner's lack of constructive notice of a dangerous condition on its property.” </w:t>
      </w:r>
      <w:r>
        <w:rPr>
          <w:rFonts w:ascii="Times New Roman" w:hAnsi="Times New Roman"/>
          <w:i/>
          <w:color w:val="000000"/>
          <w:sz w:val="20"/>
        </w:rPr>
        <w:t>Id.</w:t>
      </w:r>
      <w:r>
        <w:rPr>
          <w:rFonts w:ascii="Times New Roman" w:hAnsi="Times New Roman"/>
          <w:color w:val="000000"/>
          <w:sz w:val="20"/>
        </w:rPr>
        <w:t xml:space="preserve"> A plaintiff establish</w:t>
      </w:r>
      <w:r>
        <w:rPr>
          <w:rFonts w:ascii="Times New Roman" w:hAnsi="Times New Roman"/>
          <w:color w:val="000000"/>
          <w:sz w:val="20"/>
        </w:rPr>
        <w:t xml:space="preserve">es constructive notice if the plaintiff shows “that the hazard was of such a character, or had existed for a sufficient time, that a reasonable premises possessor would have discovered it.” </w:t>
      </w:r>
      <w:hyperlink r:id="rId17" w:anchor="co_pp_sp_542_11">
        <w:r>
          <w:rPr>
            <w:rFonts w:ascii="Times New Roman" w:hAnsi="Times New Roman"/>
            <w:i/>
            <w:color w:val="0E568C"/>
            <w:sz w:val="20"/>
          </w:rPr>
          <w:t>Id.</w:t>
        </w:r>
        <w:r>
          <w:rPr>
            <w:rFonts w:ascii="Times New Roman" w:hAnsi="Times New Roman"/>
            <w:color w:val="0E568C"/>
            <w:sz w:val="20"/>
          </w:rPr>
          <w:t xml:space="preserve"> at 11-12</w:t>
        </w:r>
      </w:hyperlink>
      <w:r>
        <w:rPr>
          <w:rFonts w:ascii="Times New Roman" w:hAnsi="Times New Roman"/>
          <w:color w:val="000000"/>
          <w:sz w:val="20"/>
        </w:rPr>
        <w:t xml:space="preserve">. </w:t>
      </w:r>
      <w:r>
        <w:rPr>
          <w:rFonts w:ascii="Times New Roman" w:hAnsi="Times New Roman"/>
          <w:color w:val="000000"/>
          <w:sz w:val="20"/>
        </w:rPr>
        <w:t>It is undisputed that plaintiff produced no evidence regarding the amount of time the hazard was present. Importantly, as defendant emphasizes, plaintiff conceded that the liquid could have been spilled only seconds before she fell. Therefore, plaintiff ca</w:t>
      </w:r>
      <w:r>
        <w:rPr>
          <w:rFonts w:ascii="Times New Roman" w:hAnsi="Times New Roman"/>
          <w:color w:val="000000"/>
          <w:sz w:val="20"/>
        </w:rPr>
        <w:t>n only prevail if it can be established that the hazard was of such a character that it should have been discovered.</w:t>
      </w:r>
    </w:p>
    <w:p w14:paraId="37E07C6C" w14:textId="77777777" w:rsidR="00C804DC" w:rsidRDefault="0019355C">
      <w:pPr>
        <w:spacing w:after="0" w:line="275" w:lineRule="atLeast"/>
        <w:jc w:val="both"/>
      </w:pPr>
      <w:r>
        <w:rPr>
          <w:rFonts w:ascii="Times New Roman" w:hAnsi="Times New Roman"/>
          <w:color w:val="000000"/>
          <w:sz w:val="20"/>
        </w:rPr>
        <w:t> </w:t>
      </w:r>
    </w:p>
    <w:p w14:paraId="3A121752" w14:textId="77777777" w:rsidR="00C804DC" w:rsidRDefault="0019355C">
      <w:pPr>
        <w:spacing w:after="0" w:line="275" w:lineRule="atLeast"/>
        <w:jc w:val="both"/>
      </w:pPr>
      <w:r>
        <w:rPr>
          <w:rFonts w:ascii="Times New Roman" w:hAnsi="Times New Roman"/>
          <w:color w:val="000000"/>
          <w:sz w:val="20"/>
        </w:rPr>
        <w:t>Plaintiff has not persuaded us that this hazard was of such a character that it should have been discovered. Instead of explaining how th</w:t>
      </w:r>
      <w:r>
        <w:rPr>
          <w:rFonts w:ascii="Times New Roman" w:hAnsi="Times New Roman"/>
          <w:color w:val="000000"/>
          <w:sz w:val="20"/>
        </w:rPr>
        <w:t>e character of the spill requires us to find the defendant had constructive notice of the spill, she focuses her argument on the idea that it is highly irregular and unforeseeable for there to be a spill in this area of the store. However, this argument is</w:t>
      </w:r>
      <w:r>
        <w:rPr>
          <w:rFonts w:ascii="Times New Roman" w:hAnsi="Times New Roman"/>
          <w:color w:val="000000"/>
          <w:sz w:val="20"/>
        </w:rPr>
        <w:t xml:space="preserve"> upside down because it is less likely that a reasonable shopkeeper would have notice of an unforeseeable hazard. Further, plaintiff tries to analogize her lawsuit to cases that are easily distinguishable. In </w:t>
      </w:r>
      <w:hyperlink r:id="rId18" w:anchor="co_pp_sp_542_366">
        <w:r>
          <w:rPr>
            <w:rFonts w:ascii="Times New Roman" w:hAnsi="Times New Roman"/>
            <w:i/>
            <w:color w:val="0E568C"/>
            <w:sz w:val="20"/>
          </w:rPr>
          <w:t>Kroll v Katz</w:t>
        </w:r>
        <w:r>
          <w:rPr>
            <w:rFonts w:ascii="Times New Roman" w:hAnsi="Times New Roman"/>
            <w:color w:val="0E568C"/>
            <w:sz w:val="20"/>
          </w:rPr>
          <w:t xml:space="preserve">, 374 </w:t>
        </w:r>
        <w:proofErr w:type="spellStart"/>
        <w:r>
          <w:rPr>
            <w:rFonts w:ascii="Times New Roman" w:hAnsi="Times New Roman"/>
            <w:color w:val="0E568C"/>
            <w:sz w:val="20"/>
          </w:rPr>
          <w:t>Mich</w:t>
        </w:r>
        <w:proofErr w:type="spellEnd"/>
        <w:r>
          <w:rPr>
            <w:rFonts w:ascii="Times New Roman" w:hAnsi="Times New Roman"/>
            <w:color w:val="0E568C"/>
            <w:sz w:val="20"/>
          </w:rPr>
          <w:t xml:space="preserve"> 364, 366; 132 NW2d 27 (1965)</w:t>
        </w:r>
      </w:hyperlink>
      <w:r>
        <w:rPr>
          <w:rFonts w:ascii="Times New Roman" w:hAnsi="Times New Roman"/>
          <w:color w:val="000000"/>
          <w:sz w:val="20"/>
        </w:rPr>
        <w:t>, the plaintiff went to a house owned by the defendant to perform plumbing work, and he was injured while walking down to the basement to turn off the water supply because he did not know that the bottom step was missing. The Supreme Court concluded that t</w:t>
      </w:r>
      <w:r>
        <w:rPr>
          <w:rFonts w:ascii="Times New Roman" w:hAnsi="Times New Roman"/>
          <w:color w:val="000000"/>
          <w:sz w:val="20"/>
        </w:rPr>
        <w:t xml:space="preserve">he defendant, during “his visit to the basement before the accident did discover or, in the exercise of reasonable care, then, or subsequently, should have discovered that the situation was dangerous ....” </w:t>
      </w:r>
      <w:hyperlink r:id="rId19" w:anchor="co_pp_sp_542_374">
        <w:r>
          <w:rPr>
            <w:rFonts w:ascii="Times New Roman" w:hAnsi="Times New Roman"/>
            <w:i/>
            <w:color w:val="0E568C"/>
            <w:sz w:val="20"/>
          </w:rPr>
          <w:t>Id.</w:t>
        </w:r>
        <w:r>
          <w:rPr>
            <w:rFonts w:ascii="Times New Roman" w:hAnsi="Times New Roman"/>
            <w:color w:val="0E568C"/>
            <w:sz w:val="20"/>
          </w:rPr>
          <w:t xml:space="preserve"> at 374</w:t>
        </w:r>
      </w:hyperlink>
      <w:r>
        <w:rPr>
          <w:rFonts w:ascii="Times New Roman" w:hAnsi="Times New Roman"/>
          <w:color w:val="000000"/>
          <w:sz w:val="20"/>
        </w:rPr>
        <w:t>. Simply put, a broken stair in a house that the defendant owned is not analogous to a spilled liquid in a supermarket; it is reasonable to believe that a person is aware of safety issues that have arisen in a house that the person owns, and,</w:t>
      </w:r>
      <w:r>
        <w:rPr>
          <w:rFonts w:ascii="Times New Roman" w:hAnsi="Times New Roman"/>
          <w:color w:val="000000"/>
          <w:sz w:val="20"/>
        </w:rPr>
        <w:t xml:space="preserve"> </w:t>
      </w:r>
      <w:r>
        <w:rPr>
          <w:rFonts w:ascii="Times New Roman" w:hAnsi="Times New Roman"/>
          <w:color w:val="000000"/>
          <w:sz w:val="20"/>
        </w:rPr>
        <w:t xml:space="preserve">unlike a spilled liquid in a store, a broken stair this is not the sort of hazard that could have suddenly arisen immediately before the plumber went down the stairs. In </w:t>
      </w:r>
      <w:hyperlink r:id="rId20">
        <w:proofErr w:type="spellStart"/>
        <w:r>
          <w:rPr>
            <w:rFonts w:ascii="Times New Roman" w:hAnsi="Times New Roman"/>
            <w:i/>
            <w:color w:val="0E568C"/>
            <w:sz w:val="20"/>
          </w:rPr>
          <w:t>Yarington</w:t>
        </w:r>
        <w:proofErr w:type="spellEnd"/>
        <w:r>
          <w:rPr>
            <w:rFonts w:ascii="Times New Roman" w:hAnsi="Times New Roman"/>
            <w:i/>
            <w:color w:val="0E568C"/>
            <w:sz w:val="20"/>
          </w:rPr>
          <w:t xml:space="preserve"> v Huck</w:t>
        </w:r>
        <w:r>
          <w:rPr>
            <w:rFonts w:ascii="Times New Roman" w:hAnsi="Times New Roman"/>
            <w:color w:val="0E568C"/>
            <w:sz w:val="20"/>
          </w:rPr>
          <w:t xml:space="preserve">, 218 </w:t>
        </w:r>
        <w:proofErr w:type="spellStart"/>
        <w:r>
          <w:rPr>
            <w:rFonts w:ascii="Times New Roman" w:hAnsi="Times New Roman"/>
            <w:color w:val="0E568C"/>
            <w:sz w:val="20"/>
          </w:rPr>
          <w:t>Mich</w:t>
        </w:r>
        <w:proofErr w:type="spellEnd"/>
        <w:r>
          <w:rPr>
            <w:rFonts w:ascii="Times New Roman" w:hAnsi="Times New Roman"/>
            <w:color w:val="0E568C"/>
            <w:sz w:val="20"/>
          </w:rPr>
          <w:t xml:space="preserve"> 100, 100-101; 187 NW 298 (1922)</w:t>
        </w:r>
      </w:hyperlink>
      <w:r>
        <w:rPr>
          <w:rFonts w:ascii="Times New Roman" w:hAnsi="Times New Roman"/>
          <w:color w:val="000000"/>
          <w:sz w:val="20"/>
        </w:rPr>
        <w:t>, the plaintiff</w:t>
      </w:r>
      <w:r>
        <w:rPr>
          <w:rFonts w:ascii="Times New Roman" w:hAnsi="Times New Roman"/>
          <w:color w:val="000000"/>
          <w:sz w:val="20"/>
        </w:rPr>
        <w:t xml:space="preserve"> was entering an inn to have dinner, and “after stepping over the threshold of the main door she caught her foot in a hole in the matting or runner spread from the doorsill to a cigar case to prevent mud being carried into the dining room on rainy days.” S</w:t>
      </w:r>
      <w:r>
        <w:rPr>
          <w:rFonts w:ascii="Times New Roman" w:hAnsi="Times New Roman"/>
          <w:color w:val="000000"/>
          <w:sz w:val="20"/>
        </w:rPr>
        <w:t>he fell and was injured, and the Supreme Court concluded that notice could be inferred, despite the absence of evidence regarding how long the hazard was present because the character of the hazard was sufficient to raise a question of fact regarding notic</w:t>
      </w:r>
      <w:r>
        <w:rPr>
          <w:rFonts w:ascii="Times New Roman" w:hAnsi="Times New Roman"/>
          <w:color w:val="000000"/>
          <w:sz w:val="20"/>
        </w:rPr>
        <w:t xml:space="preserve">e. </w:t>
      </w:r>
      <w:hyperlink r:id="rId21" w:anchor="co_pp_sp_542_101">
        <w:r>
          <w:rPr>
            <w:rFonts w:ascii="Times New Roman" w:hAnsi="Times New Roman"/>
            <w:i/>
            <w:color w:val="0E568C"/>
            <w:sz w:val="20"/>
          </w:rPr>
          <w:t>Id.</w:t>
        </w:r>
        <w:r>
          <w:rPr>
            <w:rFonts w:ascii="Times New Roman" w:hAnsi="Times New Roman"/>
            <w:color w:val="0E568C"/>
            <w:sz w:val="20"/>
          </w:rPr>
          <w:t xml:space="preserve"> at 101-104</w:t>
        </w:r>
      </w:hyperlink>
      <w:r>
        <w:rPr>
          <w:rFonts w:ascii="Times New Roman" w:hAnsi="Times New Roman"/>
          <w:color w:val="000000"/>
          <w:sz w:val="20"/>
        </w:rPr>
        <w:t xml:space="preserve">; see also </w:t>
      </w:r>
      <w:hyperlink r:id="rId22" w:anchor="co_pp_sp_542_372">
        <w:r>
          <w:rPr>
            <w:rFonts w:ascii="Times New Roman" w:hAnsi="Times New Roman"/>
            <w:i/>
            <w:color w:val="0E568C"/>
            <w:sz w:val="20"/>
          </w:rPr>
          <w:t>Kroll</w:t>
        </w:r>
        <w:r>
          <w:rPr>
            <w:rFonts w:ascii="Times New Roman" w:hAnsi="Times New Roman"/>
            <w:color w:val="0E568C"/>
            <w:sz w:val="20"/>
          </w:rPr>
          <w:t xml:space="preserve">, 374 </w:t>
        </w:r>
        <w:proofErr w:type="spellStart"/>
        <w:r>
          <w:rPr>
            <w:rFonts w:ascii="Times New Roman" w:hAnsi="Times New Roman"/>
            <w:color w:val="0E568C"/>
            <w:sz w:val="20"/>
          </w:rPr>
          <w:t>Mich</w:t>
        </w:r>
        <w:proofErr w:type="spellEnd"/>
        <w:r>
          <w:rPr>
            <w:rFonts w:ascii="Times New Roman" w:hAnsi="Times New Roman"/>
            <w:color w:val="0E568C"/>
            <w:sz w:val="20"/>
          </w:rPr>
          <w:t xml:space="preserve"> at 372</w:t>
        </w:r>
      </w:hyperlink>
      <w:r>
        <w:rPr>
          <w:rFonts w:ascii="Times New Roman" w:hAnsi="Times New Roman"/>
          <w:color w:val="000000"/>
          <w:sz w:val="20"/>
        </w:rPr>
        <w:t xml:space="preserve"> (explaining the holding in </w:t>
      </w:r>
      <w:proofErr w:type="spellStart"/>
      <w:r>
        <w:rPr>
          <w:rFonts w:ascii="Times New Roman" w:hAnsi="Times New Roman"/>
          <w:i/>
          <w:color w:val="000000"/>
          <w:sz w:val="20"/>
        </w:rPr>
        <w:t>Yarington</w:t>
      </w:r>
      <w:proofErr w:type="spellEnd"/>
      <w:r>
        <w:rPr>
          <w:rFonts w:ascii="Times New Roman" w:hAnsi="Times New Roman"/>
          <w:color w:val="000000"/>
          <w:sz w:val="20"/>
        </w:rPr>
        <w:t>). Again, a hole in a rug is not like a spill in a supermarke</w:t>
      </w:r>
      <w:r>
        <w:rPr>
          <w:rFonts w:ascii="Times New Roman" w:hAnsi="Times New Roman"/>
          <w:color w:val="000000"/>
          <w:sz w:val="20"/>
        </w:rPr>
        <w:t>t; a hole typically takes an appreciable amount of time to be worn into a carpet.</w:t>
      </w:r>
    </w:p>
    <w:p w14:paraId="631587B1" w14:textId="77777777" w:rsidR="00C804DC" w:rsidRDefault="0019355C">
      <w:pPr>
        <w:spacing w:after="0" w:line="275" w:lineRule="atLeast"/>
        <w:jc w:val="both"/>
      </w:pPr>
      <w:r>
        <w:rPr>
          <w:rFonts w:ascii="Times New Roman" w:hAnsi="Times New Roman"/>
          <w:color w:val="000000"/>
          <w:sz w:val="20"/>
        </w:rPr>
        <w:t> </w:t>
      </w:r>
    </w:p>
    <w:p w14:paraId="4C038883" w14:textId="77777777" w:rsidR="00C804DC" w:rsidRDefault="0019355C">
      <w:pPr>
        <w:spacing w:after="0" w:line="275" w:lineRule="atLeast"/>
        <w:jc w:val="both"/>
      </w:pPr>
      <w:r>
        <w:rPr>
          <w:rFonts w:ascii="Times New Roman" w:hAnsi="Times New Roman"/>
          <w:color w:val="000000"/>
          <w:sz w:val="20"/>
        </w:rPr>
        <w:t>Plaintiff argues that “[a] hole in a carpet and a missing step are both similar to a puddle of brown liquid in the health and beauty area of a retail store—unusual and unfo</w:t>
      </w:r>
      <w:r>
        <w:rPr>
          <w:rFonts w:ascii="Times New Roman" w:hAnsi="Times New Roman"/>
          <w:color w:val="000000"/>
          <w:sz w:val="20"/>
        </w:rPr>
        <w:t xml:space="preserve">reseeable.” There are multiple problems with this attempt to compare the present case to </w:t>
      </w:r>
      <w:r>
        <w:rPr>
          <w:rFonts w:ascii="Times New Roman" w:hAnsi="Times New Roman"/>
          <w:i/>
          <w:color w:val="000000"/>
          <w:sz w:val="20"/>
        </w:rPr>
        <w:t>Kroll</w:t>
      </w:r>
      <w:r>
        <w:rPr>
          <w:rFonts w:ascii="Times New Roman" w:hAnsi="Times New Roman"/>
          <w:color w:val="000000"/>
          <w:sz w:val="20"/>
        </w:rPr>
        <w:t xml:space="preserve"> and </w:t>
      </w:r>
      <w:proofErr w:type="spellStart"/>
      <w:r>
        <w:rPr>
          <w:rFonts w:ascii="Times New Roman" w:hAnsi="Times New Roman"/>
          <w:i/>
          <w:color w:val="000000"/>
          <w:sz w:val="20"/>
        </w:rPr>
        <w:t>Yarington</w:t>
      </w:r>
      <w:proofErr w:type="spellEnd"/>
      <w:r>
        <w:rPr>
          <w:rFonts w:ascii="Times New Roman" w:hAnsi="Times New Roman"/>
          <w:color w:val="000000"/>
          <w:sz w:val="20"/>
        </w:rPr>
        <w:t xml:space="preserve">. First, there is nothing in the Supreme Court's opinions in </w:t>
      </w:r>
      <w:r>
        <w:rPr>
          <w:rFonts w:ascii="Times New Roman" w:hAnsi="Times New Roman"/>
          <w:i/>
          <w:color w:val="000000"/>
          <w:sz w:val="20"/>
        </w:rPr>
        <w:t>Kroll</w:t>
      </w:r>
      <w:r>
        <w:rPr>
          <w:rFonts w:ascii="Times New Roman" w:hAnsi="Times New Roman"/>
          <w:color w:val="000000"/>
          <w:sz w:val="20"/>
        </w:rPr>
        <w:t xml:space="preserve"> or </w:t>
      </w:r>
      <w:proofErr w:type="spellStart"/>
      <w:r>
        <w:rPr>
          <w:rFonts w:ascii="Times New Roman" w:hAnsi="Times New Roman"/>
          <w:i/>
          <w:color w:val="000000"/>
          <w:sz w:val="20"/>
        </w:rPr>
        <w:t>Yarington</w:t>
      </w:r>
      <w:proofErr w:type="spellEnd"/>
      <w:r>
        <w:rPr>
          <w:rFonts w:ascii="Times New Roman" w:hAnsi="Times New Roman"/>
          <w:color w:val="000000"/>
          <w:sz w:val="20"/>
        </w:rPr>
        <w:t xml:space="preserve"> suggesting that its decisions turned on its opinion that the hazards</w:t>
      </w:r>
      <w:r>
        <w:rPr>
          <w:rFonts w:ascii="Times New Roman" w:hAnsi="Times New Roman"/>
          <w:color w:val="000000"/>
          <w:sz w:val="20"/>
        </w:rPr>
        <w:t xml:space="preserve"> were not foreseeable. Second, as noted, plaintiff's argument that this hazard was unforeseeable, if presumed true, is self-defeating because defendant would be less likely to have notice of a hazard that is not foreseeable. Finally, it is worth noting tha</w:t>
      </w:r>
      <w:r>
        <w:rPr>
          <w:rFonts w:ascii="Times New Roman" w:hAnsi="Times New Roman"/>
          <w:color w:val="000000"/>
          <w:sz w:val="20"/>
        </w:rPr>
        <w:t>t, even if a lack of foreseeability did suggest constructive notice, plaintiff's contention that a spill in the health and beauty section of the store was unforeseeable is without evidentiary support.</w:t>
      </w:r>
    </w:p>
    <w:p w14:paraId="3E98E30E" w14:textId="77777777" w:rsidR="00C804DC" w:rsidRDefault="0019355C">
      <w:pPr>
        <w:spacing w:after="0" w:line="275" w:lineRule="atLeast"/>
        <w:jc w:val="both"/>
      </w:pPr>
      <w:r>
        <w:rPr>
          <w:rFonts w:ascii="Times New Roman" w:hAnsi="Times New Roman"/>
          <w:color w:val="000000"/>
          <w:sz w:val="20"/>
        </w:rPr>
        <w:t> </w:t>
      </w:r>
    </w:p>
    <w:p w14:paraId="0A4B6548" w14:textId="77777777" w:rsidR="00C804DC" w:rsidRDefault="0019355C">
      <w:pPr>
        <w:spacing w:after="0" w:line="275" w:lineRule="atLeast"/>
        <w:jc w:val="both"/>
      </w:pPr>
      <w:bookmarkStart w:id="12" w:name="co_pp_sp_999_3_1"/>
      <w:r>
        <w:rPr>
          <w:rFonts w:ascii="Times New Roman" w:hAnsi="Times New Roman"/>
          <w:b/>
          <w:color w:val="000000"/>
          <w:sz w:val="20"/>
        </w:rPr>
        <w:t>*3</w:t>
      </w:r>
      <w:bookmarkEnd w:id="12"/>
      <w:r>
        <w:rPr>
          <w:rFonts w:ascii="Times New Roman" w:hAnsi="Times New Roman"/>
          <w:color w:val="000000"/>
          <w:sz w:val="20"/>
        </w:rPr>
        <w:t xml:space="preserve"> Finally, plaintiff seems to suggest that notice ca</w:t>
      </w:r>
      <w:r>
        <w:rPr>
          <w:rFonts w:ascii="Times New Roman" w:hAnsi="Times New Roman"/>
          <w:color w:val="000000"/>
          <w:sz w:val="20"/>
        </w:rPr>
        <w:t>n be inferred because defendant failed to adequately inspect its premises, but this argument circles us back to the lack of evidence regarding the length of time the hazard was present. Even assuming arguendo that defendant had a legal duty to thoroughly i</w:t>
      </w:r>
      <w:r>
        <w:rPr>
          <w:rFonts w:ascii="Times New Roman" w:hAnsi="Times New Roman"/>
          <w:color w:val="000000"/>
          <w:sz w:val="20"/>
        </w:rPr>
        <w:t>nspect the floors very often, plaintiff's concession that there was no way to know that the hazard had been present for even a full minute is fatal to her claim. It cannot be established that frequent inspections would or should have uncovered the spill in</w:t>
      </w:r>
      <w:r>
        <w:rPr>
          <w:rFonts w:ascii="Times New Roman" w:hAnsi="Times New Roman"/>
          <w:color w:val="000000"/>
          <w:sz w:val="20"/>
        </w:rPr>
        <w:t xml:space="preserve"> the absence of any </w:t>
      </w:r>
      <w:r>
        <w:rPr>
          <w:rFonts w:ascii="Times New Roman" w:hAnsi="Times New Roman"/>
          <w:color w:val="000000"/>
          <w:sz w:val="20"/>
        </w:rPr>
        <w:lastRenderedPageBreak/>
        <w:t>evidence regarding how long it had been present, especially in light of plaintiff's concession that it could have been there for mere seconds.</w:t>
      </w:r>
      <w:bookmarkStart w:id="13" w:name="co_fnRef_B00032078452073_ID0EZBAE_1"/>
      <w:r>
        <w:fldChar w:fldCharType="begin"/>
      </w:r>
      <w:r>
        <w:instrText xml:space="preserve"> HYPERLINK \l "co_footnote_B00032078452073_1" \h </w:instrText>
      </w:r>
      <w:r>
        <w:fldChar w:fldCharType="separate"/>
      </w:r>
      <w:r>
        <w:rPr>
          <w:rFonts w:ascii="Times New Roman" w:hAnsi="Times New Roman"/>
          <w:color w:val="0E568C"/>
          <w:sz w:val="16"/>
          <w:vertAlign w:val="superscript"/>
        </w:rPr>
        <w:t>3</w:t>
      </w:r>
      <w:r>
        <w:rPr>
          <w:rFonts w:ascii="Times New Roman" w:hAnsi="Times New Roman"/>
          <w:color w:val="0E568C"/>
          <w:sz w:val="16"/>
          <w:vertAlign w:val="superscript"/>
        </w:rPr>
        <w:fldChar w:fldCharType="end"/>
      </w:r>
      <w:bookmarkEnd w:id="13"/>
    </w:p>
    <w:p w14:paraId="097942CB" w14:textId="77777777" w:rsidR="00C804DC" w:rsidRDefault="0019355C">
      <w:pPr>
        <w:spacing w:after="0" w:line="275" w:lineRule="atLeast"/>
        <w:jc w:val="both"/>
      </w:pPr>
      <w:r>
        <w:rPr>
          <w:rFonts w:ascii="Times New Roman" w:hAnsi="Times New Roman"/>
          <w:color w:val="000000"/>
          <w:sz w:val="20"/>
        </w:rPr>
        <w:t> </w:t>
      </w:r>
    </w:p>
    <w:p w14:paraId="0C040BBD" w14:textId="77777777" w:rsidR="00C804DC" w:rsidRDefault="0019355C">
      <w:pPr>
        <w:spacing w:before="400" w:after="0" w:line="275" w:lineRule="atLeast"/>
        <w:jc w:val="center"/>
      </w:pPr>
      <w:bookmarkStart w:id="14" w:name="co_anchor_I8cdd52a1bcc811ee96a5a88dbd30"/>
      <w:r>
        <w:rPr>
          <w:rFonts w:ascii="Times New Roman" w:hAnsi="Times New Roman"/>
          <w:color w:val="000000"/>
          <w:sz w:val="20"/>
        </w:rPr>
        <w:t>III. CONCLUSION</w:t>
      </w:r>
    </w:p>
    <w:bookmarkEnd w:id="14"/>
    <w:p w14:paraId="124308A9" w14:textId="77777777" w:rsidR="00C804DC" w:rsidRDefault="0019355C">
      <w:pPr>
        <w:spacing w:before="200" w:after="0" w:line="275" w:lineRule="atLeast"/>
        <w:jc w:val="both"/>
      </w:pPr>
      <w:r>
        <w:rPr>
          <w:rFonts w:ascii="Times New Roman" w:hAnsi="Times New Roman"/>
          <w:color w:val="000000"/>
          <w:sz w:val="20"/>
        </w:rPr>
        <w:t xml:space="preserve">The trial court's order denying defendant's motion for summary disposition is reversed, and this case is remanded for entry of an order granting defendant's motion for summary disposition. Defendant, being the prevailing party, may tax costs. </w:t>
      </w:r>
      <w:hyperlink r:id="rId23">
        <w:r>
          <w:rPr>
            <w:rFonts w:ascii="Times New Roman" w:hAnsi="Times New Roman"/>
            <w:color w:val="0E568C"/>
            <w:sz w:val="20"/>
          </w:rPr>
          <w:t>M</w:t>
        </w:r>
        <w:r>
          <w:rPr>
            <w:rFonts w:ascii="Times New Roman" w:hAnsi="Times New Roman"/>
            <w:color w:val="0E568C"/>
            <w:sz w:val="20"/>
          </w:rPr>
          <w:t>CR 7.219</w:t>
        </w:r>
      </w:hyperlink>
      <w:r>
        <w:rPr>
          <w:rFonts w:ascii="Times New Roman" w:hAnsi="Times New Roman"/>
          <w:color w:val="000000"/>
          <w:sz w:val="20"/>
        </w:rPr>
        <w:t>. We do not retain jurisdiction.</w:t>
      </w:r>
    </w:p>
    <w:p w14:paraId="30AFFB4F" w14:textId="77777777" w:rsidR="00C804DC" w:rsidRDefault="0019355C">
      <w:pPr>
        <w:spacing w:after="0" w:line="275" w:lineRule="atLeast"/>
        <w:jc w:val="both"/>
      </w:pPr>
      <w:r>
        <w:rPr>
          <w:rFonts w:ascii="Times New Roman" w:hAnsi="Times New Roman"/>
          <w:color w:val="000000"/>
          <w:sz w:val="20"/>
        </w:rPr>
        <w:t> </w:t>
      </w:r>
    </w:p>
    <w:p w14:paraId="6A48DD37" w14:textId="77777777" w:rsidR="00C804DC" w:rsidRDefault="0019355C">
      <w:pPr>
        <w:keepNext/>
        <w:keepLines/>
        <w:spacing w:before="200" w:after="0" w:line="275" w:lineRule="atLeast"/>
        <w:jc w:val="both"/>
      </w:pPr>
      <w:bookmarkStart w:id="15" w:name="co_allCitations_1"/>
      <w:r>
        <w:rPr>
          <w:rFonts w:ascii="Times New Roman" w:hAnsi="Times New Roman"/>
          <w:b/>
          <w:color w:val="212121"/>
          <w:sz w:val="20"/>
        </w:rPr>
        <w:t>All Citations</w:t>
      </w:r>
    </w:p>
    <w:bookmarkEnd w:id="15"/>
    <w:p w14:paraId="085B66D1" w14:textId="77777777" w:rsidR="00C804DC" w:rsidRDefault="0019355C">
      <w:pPr>
        <w:spacing w:before="200" w:after="0" w:line="275" w:lineRule="atLeast"/>
        <w:jc w:val="both"/>
      </w:pPr>
      <w:r>
        <w:rPr>
          <w:rFonts w:ascii="Times New Roman" w:hAnsi="Times New Roman"/>
          <w:color w:val="000000"/>
          <w:sz w:val="20"/>
        </w:rPr>
        <w:t xml:space="preserve">Not Reported in N.W. </w:t>
      </w:r>
      <w:proofErr w:type="spellStart"/>
      <w:r>
        <w:rPr>
          <w:rFonts w:ascii="Times New Roman" w:hAnsi="Times New Roman"/>
          <w:color w:val="000000"/>
          <w:sz w:val="20"/>
        </w:rPr>
        <w:t>Rptr</w:t>
      </w:r>
      <w:proofErr w:type="spellEnd"/>
      <w:r>
        <w:rPr>
          <w:rFonts w:ascii="Times New Roman" w:hAnsi="Times New Roman"/>
          <w:color w:val="000000"/>
          <w:sz w:val="20"/>
        </w:rPr>
        <w:t>., 2024 WL 295264</w:t>
      </w:r>
    </w:p>
    <w:p w14:paraId="35841F9E" w14:textId="77777777" w:rsidR="00C804DC" w:rsidRDefault="00C804DC">
      <w:pPr>
        <w:sectPr w:rsidR="00C804DC">
          <w:headerReference w:type="even" r:id="rId24"/>
          <w:headerReference w:type="default" r:id="rId25"/>
          <w:footerReference w:type="even" r:id="rId26"/>
          <w:footerReference w:type="default" r:id="rId27"/>
          <w:pgSz w:w="12240" w:h="15840"/>
          <w:pgMar w:top="1800" w:right="1080" w:bottom="1080" w:left="1080" w:header="720" w:footer="720" w:gutter="0"/>
          <w:pgNumType w:start="1"/>
          <w:cols w:num="2" w:space="240"/>
        </w:sectPr>
      </w:pPr>
    </w:p>
    <w:p w14:paraId="28BDB303" w14:textId="77777777" w:rsidR="00C804DC" w:rsidRDefault="00C804DC">
      <w:pPr>
        <w:spacing w:after="0" w:line="240" w:lineRule="auto"/>
        <w:rPr>
          <w:sz w:val="60"/>
        </w:rPr>
      </w:pPr>
    </w:p>
    <w:tbl>
      <w:tblPr>
        <w:tblW w:w="0" w:type="auto"/>
        <w:tblInd w:w="10" w:type="dxa"/>
        <w:tblLayout w:type="fixed"/>
        <w:tblCellMar>
          <w:left w:w="10" w:type="dxa"/>
          <w:right w:w="10" w:type="dxa"/>
        </w:tblCellMar>
        <w:tblLook w:val="0000" w:firstRow="0" w:lastRow="0" w:firstColumn="0" w:lastColumn="0" w:noHBand="0" w:noVBand="0"/>
      </w:tblPr>
      <w:tblGrid>
        <w:gridCol w:w="600"/>
        <w:gridCol w:w="9450"/>
      </w:tblGrid>
      <w:tr w:rsidR="0019355C" w14:paraId="75BFB7EE" w14:textId="77777777" w:rsidTr="0019355C">
        <w:tblPrEx>
          <w:tblCellMar>
            <w:top w:w="0" w:type="dxa"/>
            <w:bottom w:w="0" w:type="dxa"/>
          </w:tblCellMar>
        </w:tblPrEx>
        <w:tc>
          <w:tcPr>
            <w:tcW w:w="10050" w:type="dxa"/>
            <w:gridSpan w:val="2"/>
            <w:tcMar>
              <w:bottom w:w="300" w:type="dxa"/>
            </w:tcMar>
          </w:tcPr>
          <w:p w14:paraId="10893FED" w14:textId="77777777" w:rsidR="00C804DC" w:rsidRDefault="0019355C">
            <w:pPr>
              <w:spacing w:after="0" w:line="275" w:lineRule="atLeast"/>
              <w:jc w:val="center"/>
            </w:pPr>
            <w:r>
              <w:rPr>
                <w:rFonts w:ascii="Times New Roman" w:hAnsi="Times New Roman"/>
                <w:b/>
                <w:color w:val="000000"/>
              </w:rPr>
              <w:t>Footnotes</w:t>
            </w:r>
          </w:p>
        </w:tc>
      </w:tr>
      <w:bookmarkStart w:id="16" w:name="co_footnote_B00012078452073_1"/>
      <w:tr w:rsidR="00C804DC" w14:paraId="59CD5BF9" w14:textId="77777777">
        <w:tblPrEx>
          <w:tblCellMar>
            <w:top w:w="0" w:type="dxa"/>
            <w:bottom w:w="0" w:type="dxa"/>
          </w:tblCellMar>
        </w:tblPrEx>
        <w:tc>
          <w:tcPr>
            <w:tcW w:w="600" w:type="dxa"/>
          </w:tcPr>
          <w:p w14:paraId="57002942" w14:textId="77777777" w:rsidR="00C804DC" w:rsidRDefault="0019355C">
            <w:pPr>
              <w:spacing w:after="0" w:line="275" w:lineRule="atLeast"/>
            </w:pPr>
            <w:r>
              <w:fldChar w:fldCharType="begin"/>
            </w:r>
            <w:r>
              <w:instrText xml:space="preserve"> HYPERLINK \l "co_fnRef_B00012078452073_ID0E4AAC_1" \h </w:instrText>
            </w:r>
            <w:r>
              <w:fldChar w:fldCharType="separate"/>
            </w:r>
            <w:r>
              <w:rPr>
                <w:rFonts w:ascii="Times New Roman" w:hAnsi="Times New Roman"/>
                <w:color w:val="0E568C"/>
                <w:sz w:val="20"/>
                <w:vertAlign w:val="superscript"/>
              </w:rPr>
              <w:t>1</w:t>
            </w:r>
            <w:r>
              <w:rPr>
                <w:rFonts w:ascii="Times New Roman" w:hAnsi="Times New Roman"/>
                <w:color w:val="0E568C"/>
                <w:sz w:val="20"/>
                <w:vertAlign w:val="superscript"/>
              </w:rPr>
              <w:fldChar w:fldCharType="end"/>
            </w:r>
            <w:bookmarkEnd w:id="16"/>
          </w:p>
        </w:tc>
        <w:tc>
          <w:tcPr>
            <w:tcW w:w="9450" w:type="dxa"/>
          </w:tcPr>
          <w:p w14:paraId="3C3BB64C" w14:textId="77777777" w:rsidR="00C804DC" w:rsidRDefault="0019355C">
            <w:pPr>
              <w:pBdr>
                <w:bottom w:val="none" w:sz="0" w:space="8" w:color="auto"/>
              </w:pBdr>
              <w:spacing w:after="0" w:line="275" w:lineRule="atLeast"/>
              <w:jc w:val="both"/>
            </w:pPr>
            <w:r>
              <w:rPr>
                <w:rFonts w:ascii="Times New Roman" w:hAnsi="Times New Roman"/>
                <w:i/>
                <w:color w:val="000000"/>
                <w:sz w:val="20"/>
              </w:rPr>
              <w:t>Whitaker v Meijer Inc</w:t>
            </w:r>
            <w:r>
              <w:rPr>
                <w:rFonts w:ascii="Times New Roman" w:hAnsi="Times New Roman"/>
                <w:color w:val="000000"/>
                <w:sz w:val="20"/>
              </w:rPr>
              <w:t xml:space="preserve">, unpublished order of the Court of Appeals, entered April 3, </w:t>
            </w:r>
            <w:r>
              <w:rPr>
                <w:rFonts w:ascii="Times New Roman" w:hAnsi="Times New Roman"/>
                <w:color w:val="000000"/>
                <w:sz w:val="20"/>
              </w:rPr>
              <w:t>2023 (Docket No. 363242).</w:t>
            </w:r>
          </w:p>
        </w:tc>
      </w:tr>
      <w:bookmarkStart w:id="17" w:name="co_footnote_B00022078452073_1"/>
      <w:tr w:rsidR="00C804DC" w14:paraId="61810E44" w14:textId="77777777">
        <w:tblPrEx>
          <w:tblCellMar>
            <w:top w:w="0" w:type="dxa"/>
            <w:bottom w:w="0" w:type="dxa"/>
          </w:tblCellMar>
        </w:tblPrEx>
        <w:tc>
          <w:tcPr>
            <w:tcW w:w="600" w:type="dxa"/>
          </w:tcPr>
          <w:p w14:paraId="364E3B8B" w14:textId="77777777" w:rsidR="00C804DC" w:rsidRDefault="0019355C">
            <w:pPr>
              <w:spacing w:after="0" w:line="275" w:lineRule="atLeast"/>
            </w:pPr>
            <w:r>
              <w:fldChar w:fldCharType="begin"/>
            </w:r>
            <w:r>
              <w:instrText xml:space="preserve"> HYPERLINK \l "co_fnRef_B00022078452073_ID0EKDAC_1" \h </w:instrText>
            </w:r>
            <w:r>
              <w:fldChar w:fldCharType="separate"/>
            </w:r>
            <w:r>
              <w:rPr>
                <w:rFonts w:ascii="Times New Roman" w:hAnsi="Times New Roman"/>
                <w:color w:val="0E568C"/>
                <w:sz w:val="20"/>
                <w:vertAlign w:val="superscript"/>
              </w:rPr>
              <w:t>2</w:t>
            </w:r>
            <w:r>
              <w:rPr>
                <w:rFonts w:ascii="Times New Roman" w:hAnsi="Times New Roman"/>
                <w:color w:val="0E568C"/>
                <w:sz w:val="20"/>
                <w:vertAlign w:val="superscript"/>
              </w:rPr>
              <w:fldChar w:fldCharType="end"/>
            </w:r>
            <w:bookmarkEnd w:id="17"/>
          </w:p>
        </w:tc>
        <w:tc>
          <w:tcPr>
            <w:tcW w:w="9450" w:type="dxa"/>
          </w:tcPr>
          <w:p w14:paraId="724F2666" w14:textId="77777777" w:rsidR="00C804DC" w:rsidRDefault="0019355C">
            <w:pPr>
              <w:pBdr>
                <w:bottom w:val="none" w:sz="0" w:space="8" w:color="auto"/>
              </w:pBdr>
              <w:spacing w:after="0" w:line="275" w:lineRule="atLeast"/>
              <w:jc w:val="both"/>
            </w:pPr>
            <w:r>
              <w:rPr>
                <w:rFonts w:ascii="Times New Roman" w:hAnsi="Times New Roman"/>
                <w:color w:val="000000"/>
                <w:sz w:val="20"/>
              </w:rPr>
              <w:t>This Court also concluded that there was a question of fact regarding whether the hazard was open and obvious, but our conclusion that defendant lacked notice renders th</w:t>
            </w:r>
            <w:r>
              <w:rPr>
                <w:rFonts w:ascii="Times New Roman" w:hAnsi="Times New Roman"/>
                <w:color w:val="000000"/>
                <w:sz w:val="20"/>
              </w:rPr>
              <w:t>at issue moot.</w:t>
            </w:r>
          </w:p>
        </w:tc>
      </w:tr>
      <w:bookmarkStart w:id="18" w:name="co_footnote_B00032078452073_1"/>
      <w:tr w:rsidR="00C804DC" w14:paraId="3DC51173" w14:textId="77777777">
        <w:tblPrEx>
          <w:tblCellMar>
            <w:top w:w="0" w:type="dxa"/>
            <w:bottom w:w="0" w:type="dxa"/>
          </w:tblCellMar>
        </w:tblPrEx>
        <w:tc>
          <w:tcPr>
            <w:tcW w:w="600" w:type="dxa"/>
          </w:tcPr>
          <w:p w14:paraId="2F0D203E" w14:textId="77777777" w:rsidR="00C804DC" w:rsidRDefault="0019355C">
            <w:pPr>
              <w:spacing w:after="0" w:line="275" w:lineRule="atLeast"/>
            </w:pPr>
            <w:r>
              <w:fldChar w:fldCharType="begin"/>
            </w:r>
            <w:r>
              <w:instrText xml:space="preserve"> HYPERLINK \l "co_fnRef_B00032078452073_ID0EZBAE_1" \h </w:instrText>
            </w:r>
            <w:r>
              <w:fldChar w:fldCharType="separate"/>
            </w:r>
            <w:r>
              <w:rPr>
                <w:rFonts w:ascii="Times New Roman" w:hAnsi="Times New Roman"/>
                <w:color w:val="0E568C"/>
                <w:sz w:val="20"/>
                <w:vertAlign w:val="superscript"/>
              </w:rPr>
              <w:t>3</w:t>
            </w:r>
            <w:r>
              <w:rPr>
                <w:rFonts w:ascii="Times New Roman" w:hAnsi="Times New Roman"/>
                <w:color w:val="0E568C"/>
                <w:sz w:val="20"/>
                <w:vertAlign w:val="superscript"/>
              </w:rPr>
              <w:fldChar w:fldCharType="end"/>
            </w:r>
            <w:bookmarkEnd w:id="18"/>
          </w:p>
        </w:tc>
        <w:tc>
          <w:tcPr>
            <w:tcW w:w="9450" w:type="dxa"/>
          </w:tcPr>
          <w:p w14:paraId="259AC6B0" w14:textId="77777777" w:rsidR="00C804DC" w:rsidRDefault="0019355C">
            <w:pPr>
              <w:pBdr>
                <w:bottom w:val="none" w:sz="0" w:space="8" w:color="auto"/>
              </w:pBdr>
              <w:spacing w:after="0" w:line="275" w:lineRule="atLeast"/>
              <w:jc w:val="both"/>
            </w:pPr>
            <w:r>
              <w:rPr>
                <w:rFonts w:ascii="Times New Roman" w:hAnsi="Times New Roman"/>
                <w:color w:val="000000"/>
                <w:sz w:val="20"/>
              </w:rPr>
              <w:t xml:space="preserve">Because our conclusion that plaintiff cannot establish that defendant had notice of the spill entitles defendant to summary disposition of plaintiff's claims, we decline to </w:t>
            </w:r>
            <w:r>
              <w:rPr>
                <w:rFonts w:ascii="Times New Roman" w:hAnsi="Times New Roman"/>
                <w:color w:val="000000"/>
                <w:sz w:val="20"/>
              </w:rPr>
              <w:t>address defendant's remaining arguments.</w:t>
            </w:r>
          </w:p>
        </w:tc>
      </w:tr>
    </w:tbl>
    <w:p w14:paraId="4C3B3581" w14:textId="77777777" w:rsidR="00C804DC" w:rsidRDefault="00C804DC">
      <w:pPr>
        <w:spacing w:after="0" w:line="240" w:lineRule="auto"/>
        <w:rPr>
          <w:sz w:val="24"/>
        </w:rPr>
      </w:pPr>
    </w:p>
    <w:tbl>
      <w:tblPr>
        <w:tblW w:w="0" w:type="auto"/>
        <w:tblInd w:w="24" w:type="dxa"/>
        <w:tblLayout w:type="fixed"/>
        <w:tblCellMar>
          <w:left w:w="10" w:type="dxa"/>
          <w:right w:w="10" w:type="dxa"/>
        </w:tblCellMar>
        <w:tblLook w:val="0000" w:firstRow="0" w:lastRow="0" w:firstColumn="0" w:lastColumn="0" w:noHBand="0" w:noVBand="0"/>
      </w:tblPr>
      <w:tblGrid>
        <w:gridCol w:w="4305"/>
        <w:gridCol w:w="5745"/>
      </w:tblGrid>
      <w:tr w:rsidR="00C804DC" w14:paraId="2E702534" w14:textId="77777777">
        <w:tblPrEx>
          <w:tblCellMar>
            <w:top w:w="0" w:type="dxa"/>
            <w:bottom w:w="0" w:type="dxa"/>
          </w:tblCellMar>
        </w:tblPrEx>
        <w:tc>
          <w:tcPr>
            <w:tcW w:w="4305" w:type="dxa"/>
            <w:tcBorders>
              <w:top w:val="single" w:sz="4" w:space="0" w:color="777777"/>
            </w:tcBorders>
            <w:tcMar>
              <w:top w:w="75" w:type="dxa"/>
              <w:left w:w="24" w:type="dxa"/>
              <w:right w:w="24" w:type="dxa"/>
            </w:tcMar>
          </w:tcPr>
          <w:p w14:paraId="16806FB5" w14:textId="77777777" w:rsidR="00C804DC" w:rsidRDefault="0019355C">
            <w:pPr>
              <w:spacing w:after="0" w:line="235" w:lineRule="atLeast"/>
            </w:pPr>
            <w:r>
              <w:rPr>
                <w:rFonts w:ascii="Times New Roman" w:hAnsi="Times New Roman"/>
                <w:b/>
                <w:color w:val="777777"/>
                <w:sz w:val="16"/>
              </w:rPr>
              <w:t>End of Document</w:t>
            </w:r>
          </w:p>
        </w:tc>
        <w:tc>
          <w:tcPr>
            <w:tcW w:w="5745" w:type="dxa"/>
            <w:tcBorders>
              <w:top w:val="single" w:sz="4" w:space="0" w:color="777777"/>
            </w:tcBorders>
            <w:tcMar>
              <w:top w:w="75" w:type="dxa"/>
              <w:left w:w="24" w:type="dxa"/>
              <w:right w:w="24" w:type="dxa"/>
            </w:tcMar>
          </w:tcPr>
          <w:p w14:paraId="584A1E10" w14:textId="77777777" w:rsidR="00C804DC" w:rsidRDefault="0019355C">
            <w:pPr>
              <w:spacing w:after="0" w:line="235" w:lineRule="atLeast"/>
              <w:jc w:val="right"/>
            </w:pPr>
            <w:r>
              <w:rPr>
                <w:rFonts w:ascii="Times New Roman" w:hAnsi="Times New Roman"/>
                <w:color w:val="777777"/>
                <w:sz w:val="16"/>
              </w:rPr>
              <w:t>© 2024 Thomson Reuters. No claim to original U.S. Government Works.</w:t>
            </w:r>
          </w:p>
        </w:tc>
      </w:tr>
    </w:tbl>
    <w:p w14:paraId="1F500A1E" w14:textId="77777777" w:rsidR="00000000" w:rsidRDefault="0019355C"/>
    <w:sectPr w:rsidR="00000000">
      <w:pgSz w:w="12240" w:h="15840"/>
      <w:pgMar w:top="180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3BF92" w14:textId="77777777" w:rsidR="00000000" w:rsidRDefault="0019355C">
      <w:pPr>
        <w:spacing w:after="0" w:line="240" w:lineRule="auto"/>
      </w:pPr>
      <w:r>
        <w:separator/>
      </w:r>
    </w:p>
  </w:endnote>
  <w:endnote w:type="continuationSeparator" w:id="0">
    <w:p w14:paraId="27F48CAA" w14:textId="77777777" w:rsidR="00000000" w:rsidRDefault="0019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000" w:firstRow="0" w:lastRow="0" w:firstColumn="0" w:lastColumn="0" w:noHBand="0" w:noVBand="0"/>
    </w:tblPr>
    <w:tblGrid>
      <w:gridCol w:w="9270"/>
      <w:gridCol w:w="690"/>
    </w:tblGrid>
    <w:tr w:rsidR="00C804DC" w14:paraId="4DCD0B32" w14:textId="77777777">
      <w:tblPrEx>
        <w:tblCellMar>
          <w:top w:w="0" w:type="dxa"/>
          <w:bottom w:w="0" w:type="dxa"/>
        </w:tblCellMar>
      </w:tblPrEx>
      <w:tc>
        <w:tcPr>
          <w:tcW w:w="9270" w:type="dxa"/>
          <w:tcBorders>
            <w:top w:val="single" w:sz="6" w:space="0" w:color="AAAAAA"/>
          </w:tcBorders>
          <w:tcMar>
            <w:top w:w="60" w:type="dxa"/>
          </w:tcMar>
          <w:vAlign w:val="bottom"/>
        </w:tcPr>
        <w:p w14:paraId="55824577" w14:textId="77777777" w:rsidR="00C804DC" w:rsidRDefault="0019355C">
          <w:pPr>
            <w:spacing w:after="0" w:line="240" w:lineRule="auto"/>
          </w:pPr>
          <w:r>
            <w:rPr>
              <w:rFonts w:ascii="Arial" w:hAnsi="Arial"/>
              <w:noProof/>
              <w:color w:val="AAAAAA"/>
              <w:sz w:val="20"/>
            </w:rPr>
            <w:drawing>
              <wp:inline distT="0" distB="0" distL="0" distR="0" wp14:anchorId="6AED82F0" wp14:editId="34C51B36">
                <wp:extent cx="742950" cy="95250"/>
                <wp:effectExtent l="0" t="0" r="0" b="0"/>
                <wp:docPr id="2"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01AFBC07" w14:textId="77777777" w:rsidR="00C804DC" w:rsidRDefault="0019355C">
          <w:pPr>
            <w:spacing w:after="0" w:line="240" w:lineRule="auto"/>
            <w:jc w:val="right"/>
          </w:pPr>
          <w:r>
            <w:rPr>
              <w:rFonts w:ascii="Arial" w:hAnsi="Arial"/>
              <w:color w:val="AAAAAA"/>
              <w:sz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000" w:firstRow="0" w:lastRow="0" w:firstColumn="0" w:lastColumn="0" w:noHBand="0" w:noVBand="0"/>
    </w:tblPr>
    <w:tblGrid>
      <w:gridCol w:w="9270"/>
      <w:gridCol w:w="690"/>
    </w:tblGrid>
    <w:tr w:rsidR="00C804DC" w14:paraId="1538DD28" w14:textId="77777777">
      <w:tblPrEx>
        <w:tblCellMar>
          <w:top w:w="0" w:type="dxa"/>
          <w:bottom w:w="0" w:type="dxa"/>
        </w:tblCellMar>
      </w:tblPrEx>
      <w:tc>
        <w:tcPr>
          <w:tcW w:w="9270" w:type="dxa"/>
          <w:tcBorders>
            <w:top w:val="single" w:sz="6" w:space="0" w:color="AAAAAA"/>
          </w:tcBorders>
          <w:tcMar>
            <w:top w:w="60" w:type="dxa"/>
          </w:tcMar>
          <w:vAlign w:val="bottom"/>
        </w:tcPr>
        <w:p w14:paraId="21673802" w14:textId="77777777" w:rsidR="00C804DC" w:rsidRDefault="0019355C">
          <w:pPr>
            <w:spacing w:after="0" w:line="240" w:lineRule="auto"/>
          </w:pPr>
          <w:r>
            <w:rPr>
              <w:rFonts w:ascii="Arial" w:hAnsi="Arial"/>
              <w:noProof/>
              <w:color w:val="AAAAAA"/>
              <w:sz w:val="20"/>
            </w:rPr>
            <w:drawing>
              <wp:inline distT="0" distB="0" distL="0" distR="0" wp14:anchorId="08B1C15C" wp14:editId="265398A0">
                <wp:extent cx="742950" cy="95250"/>
                <wp:effectExtent l="0" t="0" r="0" b="0"/>
                <wp:docPr id="1"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0FDC65C5" w14:textId="77777777" w:rsidR="00C804DC" w:rsidRDefault="0019355C">
          <w:pPr>
            <w:spacing w:after="0" w:line="240" w:lineRule="auto"/>
            <w:jc w:val="right"/>
          </w:pPr>
          <w:r>
            <w:rPr>
              <w:rFonts w:ascii="Arial" w:hAnsi="Arial"/>
              <w:color w:val="AAAAAA"/>
              <w:sz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8EA6" w14:textId="77777777" w:rsidR="00000000" w:rsidRDefault="0019355C">
      <w:pPr>
        <w:spacing w:after="0" w:line="240" w:lineRule="auto"/>
      </w:pPr>
      <w:r>
        <w:separator/>
      </w:r>
    </w:p>
  </w:footnote>
  <w:footnote w:type="continuationSeparator" w:id="0">
    <w:p w14:paraId="02F1E32D" w14:textId="77777777" w:rsidR="00000000" w:rsidRDefault="0019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000" w:firstRow="0" w:lastRow="0" w:firstColumn="0" w:lastColumn="0" w:noHBand="0" w:noVBand="0"/>
    </w:tblPr>
    <w:tblGrid>
      <w:gridCol w:w="9360"/>
      <w:gridCol w:w="705"/>
    </w:tblGrid>
    <w:tr w:rsidR="00C804DC" w14:paraId="39A0F4B0" w14:textId="77777777">
      <w:tblPrEx>
        <w:tblCellMar>
          <w:top w:w="0" w:type="dxa"/>
          <w:bottom w:w="0" w:type="dxa"/>
        </w:tblCellMar>
      </w:tblPrEx>
      <w:tc>
        <w:tcPr>
          <w:tcW w:w="9360" w:type="dxa"/>
          <w:tcMar>
            <w:top w:w="300" w:type="dxa"/>
            <w:bottom w:w="45" w:type="dxa"/>
          </w:tcMar>
          <w:vAlign w:val="bottom"/>
        </w:tcPr>
        <w:p w14:paraId="05920E39" w14:textId="77777777" w:rsidR="00C804DC" w:rsidRDefault="0019355C">
          <w:pPr>
            <w:spacing w:after="0" w:line="240" w:lineRule="auto"/>
            <w:jc w:val="center"/>
          </w:pPr>
          <w:r>
            <w:rPr>
              <w:rFonts w:ascii="Arial" w:hAnsi="Arial"/>
              <w:b/>
              <w:color w:val="000000"/>
              <w:sz w:val="18"/>
            </w:rPr>
            <w:t>Stump, Brandon</w:t>
          </w:r>
          <w:r>
            <w:rPr>
              <w:rFonts w:ascii="Arial" w:hAnsi="Arial"/>
              <w:color w:val="000000"/>
              <w:sz w:val="18"/>
            </w:rPr>
            <w:t xml:space="preserve"> </w:t>
          </w:r>
          <w:r>
            <w:rPr>
              <w:rFonts w:ascii="Arial" w:hAnsi="Arial"/>
              <w:b/>
              <w:color w:val="000000"/>
              <w:sz w:val="18"/>
            </w:rPr>
            <w:t>2/13/2024</w:t>
          </w:r>
        </w:p>
        <w:p w14:paraId="4F3859BA" w14:textId="77777777" w:rsidR="00C804DC" w:rsidRDefault="0019355C">
          <w:pPr>
            <w:spacing w:after="0" w:line="240" w:lineRule="auto"/>
            <w:jc w:val="center"/>
          </w:pPr>
          <w:r>
            <w:rPr>
              <w:rFonts w:ascii="Arial" w:hAnsi="Arial"/>
              <w:b/>
              <w:color w:val="000000"/>
              <w:sz w:val="18"/>
            </w:rPr>
            <w:t>For Educational Use Only</w:t>
          </w:r>
        </w:p>
      </w:tc>
      <w:tc>
        <w:tcPr>
          <w:tcW w:w="705" w:type="dxa"/>
        </w:tcPr>
        <w:p w14:paraId="3FD7172D" w14:textId="77777777" w:rsidR="00C804DC" w:rsidRDefault="00C804DC">
          <w:pPr>
            <w:spacing w:after="0" w:line="240" w:lineRule="auto"/>
          </w:pPr>
        </w:p>
      </w:tc>
    </w:tr>
    <w:tr w:rsidR="00C804DC" w14:paraId="26D5BFAB"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6ED7C785" w14:textId="77777777" w:rsidR="00C804DC" w:rsidRDefault="0019355C">
          <w:pPr>
            <w:spacing w:after="0" w:line="240" w:lineRule="auto"/>
          </w:pPr>
          <w:r>
            <w:rPr>
              <w:rFonts w:ascii="Arial" w:hAnsi="Arial"/>
              <w:b/>
              <w:color w:val="555555"/>
              <w:sz w:val="18"/>
            </w:rPr>
            <w:t xml:space="preserve">Whitaker v. Meijer Inc., Not Reported in N.W. </w:t>
          </w:r>
          <w:proofErr w:type="spellStart"/>
          <w:r>
            <w:rPr>
              <w:rFonts w:ascii="Arial" w:hAnsi="Arial"/>
              <w:b/>
              <w:color w:val="555555"/>
              <w:sz w:val="18"/>
            </w:rPr>
            <w:t>Rptr</w:t>
          </w:r>
          <w:proofErr w:type="spellEnd"/>
          <w:r>
            <w:rPr>
              <w:rFonts w:ascii="Arial" w:hAnsi="Arial"/>
              <w:b/>
              <w:color w:val="555555"/>
              <w:sz w:val="18"/>
            </w:rPr>
            <w:t>. (2024)</w:t>
          </w:r>
        </w:p>
      </w:tc>
      <w:tc>
        <w:tcPr>
          <w:tcW w:w="705" w:type="dxa"/>
          <w:tcBorders>
            <w:bottom w:val="single" w:sz="6" w:space="0" w:color="AAAAAA"/>
          </w:tcBorders>
          <w:tcMar>
            <w:top w:w="390" w:type="dxa"/>
            <w:bottom w:w="60" w:type="dxa"/>
          </w:tcMar>
        </w:tcPr>
        <w:p w14:paraId="670E335F" w14:textId="77777777" w:rsidR="00C804DC" w:rsidRDefault="00C804DC">
          <w:pPr>
            <w:spacing w:after="0" w:line="240" w:lineRule="auto"/>
            <w:rPr>
              <w:rFonts w:ascii="Arial" w:hAnsi="Arial"/>
              <w:color w:val="000000"/>
              <w:sz w:val="18"/>
            </w:rPr>
          </w:pPr>
        </w:p>
      </w:tc>
    </w:tr>
    <w:tr w:rsidR="0019355C" w14:paraId="4AFD1B4D" w14:textId="77777777" w:rsidTr="0019355C">
      <w:tblPrEx>
        <w:tblCellMar>
          <w:top w:w="0" w:type="dxa"/>
          <w:bottom w:w="0" w:type="dxa"/>
        </w:tblCellMar>
      </w:tblPrEx>
      <w:tc>
        <w:tcPr>
          <w:tcW w:w="10065" w:type="dxa"/>
          <w:gridSpan w:val="2"/>
        </w:tcPr>
        <w:p w14:paraId="7126DC22" w14:textId="77777777" w:rsidR="00C804DC" w:rsidRDefault="00C804DC">
          <w:pPr>
            <w:spacing w:after="0" w:line="240" w:lineRule="auto"/>
            <w:rPr>
              <w:rFonts w:ascii="Arial" w:hAnsi="Arial"/>
              <w:color w:val="000000"/>
              <w:sz w:val="18"/>
            </w:rPr>
          </w:pPr>
        </w:p>
      </w:tc>
    </w:tr>
  </w:tbl>
  <w:p w14:paraId="6B0D2A1E" w14:textId="77777777" w:rsidR="00C804DC" w:rsidRDefault="0019355C">
    <w:pPr>
      <w:spacing w:after="0" w:line="240" w:lineRule="auto"/>
    </w:pPr>
    <w:r>
      <w:rPr>
        <w:rFonts w:ascii="Arial" w:hAnsi="Arial"/>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000" w:firstRow="0" w:lastRow="0" w:firstColumn="0" w:lastColumn="0" w:noHBand="0" w:noVBand="0"/>
    </w:tblPr>
    <w:tblGrid>
      <w:gridCol w:w="9360"/>
      <w:gridCol w:w="705"/>
    </w:tblGrid>
    <w:tr w:rsidR="00C804DC" w14:paraId="29CD78B8" w14:textId="77777777">
      <w:tblPrEx>
        <w:tblCellMar>
          <w:top w:w="0" w:type="dxa"/>
          <w:bottom w:w="0" w:type="dxa"/>
        </w:tblCellMar>
      </w:tblPrEx>
      <w:tc>
        <w:tcPr>
          <w:tcW w:w="9360" w:type="dxa"/>
          <w:tcMar>
            <w:top w:w="300" w:type="dxa"/>
            <w:bottom w:w="45" w:type="dxa"/>
          </w:tcMar>
          <w:vAlign w:val="bottom"/>
        </w:tcPr>
        <w:p w14:paraId="22FD0705" w14:textId="77777777" w:rsidR="00C804DC" w:rsidRDefault="0019355C">
          <w:pPr>
            <w:spacing w:after="0" w:line="240" w:lineRule="auto"/>
            <w:jc w:val="center"/>
          </w:pPr>
          <w:r>
            <w:rPr>
              <w:rFonts w:ascii="Arial" w:hAnsi="Arial"/>
              <w:b/>
              <w:color w:val="000000"/>
              <w:sz w:val="18"/>
            </w:rPr>
            <w:t>Stump, Brandon</w:t>
          </w:r>
          <w:r>
            <w:rPr>
              <w:rFonts w:ascii="Arial" w:hAnsi="Arial"/>
              <w:color w:val="000000"/>
              <w:sz w:val="18"/>
            </w:rPr>
            <w:t xml:space="preserve"> </w:t>
          </w:r>
          <w:r>
            <w:rPr>
              <w:rFonts w:ascii="Arial" w:hAnsi="Arial"/>
              <w:b/>
              <w:color w:val="000000"/>
              <w:sz w:val="18"/>
            </w:rPr>
            <w:t>2/13/2024</w:t>
          </w:r>
        </w:p>
        <w:p w14:paraId="600321F5" w14:textId="77777777" w:rsidR="00C804DC" w:rsidRDefault="0019355C">
          <w:pPr>
            <w:spacing w:after="0" w:line="240" w:lineRule="auto"/>
            <w:jc w:val="center"/>
          </w:pPr>
          <w:r>
            <w:rPr>
              <w:rFonts w:ascii="Arial" w:hAnsi="Arial"/>
              <w:b/>
              <w:color w:val="000000"/>
              <w:sz w:val="18"/>
            </w:rPr>
            <w:t>For Educational Use Only</w:t>
          </w:r>
        </w:p>
      </w:tc>
      <w:tc>
        <w:tcPr>
          <w:tcW w:w="705" w:type="dxa"/>
        </w:tcPr>
        <w:p w14:paraId="733A975B" w14:textId="77777777" w:rsidR="00C804DC" w:rsidRDefault="00C804DC">
          <w:pPr>
            <w:spacing w:after="0" w:line="240" w:lineRule="auto"/>
          </w:pPr>
        </w:p>
      </w:tc>
    </w:tr>
    <w:tr w:rsidR="00C804DC" w14:paraId="614545CB"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4A9CEBA8" w14:textId="77777777" w:rsidR="00C804DC" w:rsidRDefault="0019355C">
          <w:pPr>
            <w:spacing w:after="0" w:line="240" w:lineRule="auto"/>
          </w:pPr>
          <w:r>
            <w:rPr>
              <w:rFonts w:ascii="Arial" w:hAnsi="Arial"/>
              <w:b/>
              <w:color w:val="555555"/>
              <w:sz w:val="18"/>
            </w:rPr>
            <w:t xml:space="preserve">Whitaker v. Meijer Inc., Not Reported in N.W. </w:t>
          </w:r>
          <w:proofErr w:type="spellStart"/>
          <w:r>
            <w:rPr>
              <w:rFonts w:ascii="Arial" w:hAnsi="Arial"/>
              <w:b/>
              <w:color w:val="555555"/>
              <w:sz w:val="18"/>
            </w:rPr>
            <w:t>Rptr</w:t>
          </w:r>
          <w:proofErr w:type="spellEnd"/>
          <w:r>
            <w:rPr>
              <w:rFonts w:ascii="Arial" w:hAnsi="Arial"/>
              <w:b/>
              <w:color w:val="555555"/>
              <w:sz w:val="18"/>
            </w:rPr>
            <w:t>. (2024)</w:t>
          </w:r>
        </w:p>
      </w:tc>
      <w:tc>
        <w:tcPr>
          <w:tcW w:w="705" w:type="dxa"/>
          <w:tcBorders>
            <w:bottom w:val="single" w:sz="6" w:space="0" w:color="AAAAAA"/>
          </w:tcBorders>
          <w:tcMar>
            <w:top w:w="390" w:type="dxa"/>
            <w:bottom w:w="60" w:type="dxa"/>
          </w:tcMar>
        </w:tcPr>
        <w:p w14:paraId="01096A72" w14:textId="77777777" w:rsidR="00C804DC" w:rsidRDefault="00C804DC">
          <w:pPr>
            <w:spacing w:after="0" w:line="240" w:lineRule="auto"/>
            <w:rPr>
              <w:rFonts w:ascii="Arial" w:hAnsi="Arial"/>
              <w:color w:val="000000"/>
              <w:sz w:val="18"/>
            </w:rPr>
          </w:pPr>
        </w:p>
      </w:tc>
    </w:tr>
    <w:tr w:rsidR="0019355C" w14:paraId="6A68507A" w14:textId="77777777" w:rsidTr="0019355C">
      <w:tblPrEx>
        <w:tblCellMar>
          <w:top w:w="0" w:type="dxa"/>
          <w:bottom w:w="0" w:type="dxa"/>
        </w:tblCellMar>
      </w:tblPrEx>
      <w:tc>
        <w:tcPr>
          <w:tcW w:w="10065" w:type="dxa"/>
          <w:gridSpan w:val="2"/>
        </w:tcPr>
        <w:p w14:paraId="3993674C" w14:textId="77777777" w:rsidR="00C804DC" w:rsidRDefault="00C804DC">
          <w:pPr>
            <w:spacing w:after="0" w:line="240" w:lineRule="auto"/>
            <w:rPr>
              <w:rFonts w:ascii="Arial" w:hAnsi="Arial"/>
              <w:color w:val="000000"/>
              <w:sz w:val="18"/>
            </w:rPr>
          </w:pPr>
        </w:p>
      </w:tc>
    </w:tr>
  </w:tbl>
  <w:p w14:paraId="3EE44305" w14:textId="77777777" w:rsidR="00C804DC" w:rsidRDefault="0019355C">
    <w:pPr>
      <w:spacing w:after="0" w:line="240" w:lineRule="auto"/>
    </w:pPr>
    <w:r>
      <w:rPr>
        <w:rFonts w:ascii="Arial" w:hAnsi="Arial"/>
        <w:color w:val="00000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04DC"/>
    <w:rsid w:val="0019355C"/>
    <w:rsid w:val="00C8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2852"/>
  <w15:docId w15:val="{99D14EB7-73F6-4233-94DA-F47FD9B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estlaw.com/Link/Document/FullText?findType=Y&amp;serNum=2003507489&amp;pubNum=0000542&amp;originatingDoc=I2b831990bc7d11ee9614e7cb54c94fa8&amp;refType=RP&amp;fi=co_pp_sp_542_183&amp;originationContext=document&amp;vr=3.0&amp;rs=cblt1.0&amp;transitionType=DocumentItem&amp;contextData=(sc.Search)" TargetMode="External"/><Relationship Id="rId18" Type="http://schemas.openxmlformats.org/officeDocument/2006/relationships/hyperlink" Target="https://www.westlaw.com/Link/Document/FullText?findType=Y&amp;serNum=1965117894&amp;pubNum=0000542&amp;originatingDoc=I2b831990bc7d11ee9614e7cb54c94fa8&amp;refType=RP&amp;fi=co_pp_sp_542_366&amp;originationContext=document&amp;vr=3.0&amp;rs=cblt1.0&amp;transitionType=DocumentItem&amp;contextData=(sc.Searc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estlaw.com/Link/Document/FullText?findType=Y&amp;serNum=1922106406&amp;pubNum=0000542&amp;originatingDoc=I2b831990bc7d11ee9614e7cb54c94fa8&amp;refType=RP&amp;fi=co_pp_sp_542_101&amp;originationContext=document&amp;vr=3.0&amp;rs=cblt1.0&amp;transitionType=DocumentItem&amp;contextData=(sc.Search)" TargetMode="External"/><Relationship Id="rId7" Type="http://schemas.openxmlformats.org/officeDocument/2006/relationships/footnotes" Target="footnotes.xml"/><Relationship Id="rId12" Type="http://schemas.openxmlformats.org/officeDocument/2006/relationships/hyperlink" Target="https://www.westlaw.com/Link/Document/FullText?findType=L&amp;pubNum=1005474&amp;cite=MIRRCPMCR2.116&amp;originatingDoc=I2b831990bc7d11ee9614e7cb54c94fa8&amp;refType=LQ&amp;originationContext=document&amp;vr=3.0&amp;rs=cblt1.0&amp;transitionType=DocumentItem&amp;contextData=(sc.Search)" TargetMode="External"/><Relationship Id="rId17" Type="http://schemas.openxmlformats.org/officeDocument/2006/relationships/hyperlink" Target="https://www.westlaw.com/Link/Document/FullText?findType=Y&amp;serNum=2040531265&amp;pubNum=0000542&amp;originatingDoc=I2b831990bc7d11ee9614e7cb54c94fa8&amp;refType=RP&amp;fi=co_pp_sp_542_11&amp;originationContext=document&amp;vr=3.0&amp;rs=cblt1.0&amp;transitionType=DocumentItem&amp;contextData=(sc.Search)"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estlaw.com/Link/Document/FullText?findType=Y&amp;serNum=2040531265&amp;pubNum=0000542&amp;originatingDoc=I2b831990bc7d11ee9614e7cb54c94fa8&amp;refType=RP&amp;fi=co_pp_sp_542_10&amp;originationContext=document&amp;vr=3.0&amp;rs=cblt1.0&amp;transitionType=DocumentItem&amp;contextData=(sc.Search)" TargetMode="External"/><Relationship Id="rId20" Type="http://schemas.openxmlformats.org/officeDocument/2006/relationships/hyperlink" Target="https://www.westlaw.com/Link/Document/FullText?findType=Y&amp;serNum=1922106406&amp;pubNum=0000594&amp;originatingDoc=I2b831990bc7d11ee9614e7cb54c94fa8&amp;refType=RP&amp;originationContext=document&amp;vr=3.0&amp;rs=cblt1.0&amp;transitionType=DocumentItem&amp;contextData=(sc.Sear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law.com/Link/Document/FullText?findType=h&amp;pubNum=176284&amp;cite=0529894301&amp;originatingDoc=I2b831990bc7d11ee9614e7cb54c94fa8&amp;refType=RQ&amp;originationContext=document&amp;vr=3.0&amp;rs=cblt1.0&amp;transitionType=DocumentItem&amp;contextData=(sc.Searc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westlaw.com/Link/Document/FullText?findType=Y&amp;serNum=2027810668&amp;pubNum=0000543&amp;originatingDoc=I2b831990bc7d11ee9614e7cb54c94fa8&amp;refType=RP&amp;fi=co_pp_sp_543_693&amp;originationContext=document&amp;vr=3.0&amp;rs=cblt1.0&amp;transitionType=DocumentItem&amp;contextData=(sc.Search)" TargetMode="External"/><Relationship Id="rId23" Type="http://schemas.openxmlformats.org/officeDocument/2006/relationships/hyperlink" Target="https://www.westlaw.com/Link/Document/FullText?findType=L&amp;pubNum=1005479&amp;cite=MIRAMCR7.219&amp;originatingDoc=I2b831990bc7d11ee9614e7cb54c94fa8&amp;refType=LQ&amp;originationContext=document&amp;vr=3.0&amp;rs=cblt1.0&amp;transitionType=DocumentItem&amp;contextData=(sc.Search)" TargetMode="External"/><Relationship Id="rId28" Type="http://schemas.openxmlformats.org/officeDocument/2006/relationships/fontTable" Target="fontTable.xml"/><Relationship Id="rId10" Type="http://schemas.openxmlformats.org/officeDocument/2006/relationships/hyperlink" Target="https://www.westlaw.com/Link/Document/FullText?findType=h&amp;pubNum=176284&amp;cite=0509758401&amp;originatingDoc=I2b831990bc7d11ee9614e7cb54c94fa8&amp;refType=RQ&amp;originationContext=document&amp;vr=3.0&amp;rs=cblt1.0&amp;transitionType=DocumentItem&amp;contextData=(sc.Search)" TargetMode="External"/><Relationship Id="rId19" Type="http://schemas.openxmlformats.org/officeDocument/2006/relationships/hyperlink" Target="https://www.westlaw.com/Link/Document/FullText?findType=Y&amp;serNum=1965117894&amp;pubNum=0000542&amp;originatingDoc=I2b831990bc7d11ee9614e7cb54c94fa8&amp;refType=RP&amp;fi=co_pp_sp_542_374&amp;originationContext=document&amp;vr=3.0&amp;rs=cblt1.0&amp;transitionType=DocumentItem&amp;contextData=(sc.Search)" TargetMode="External"/><Relationship Id="rId4" Type="http://schemas.openxmlformats.org/officeDocument/2006/relationships/styles" Target="styles.xml"/><Relationship Id="rId9" Type="http://schemas.openxmlformats.org/officeDocument/2006/relationships/hyperlink" Target="https://www.westlaw.com/Link/Document/FullText?findType=h&amp;pubNum=176284&amp;cite=0391869801&amp;originatingDoc=I2b831990bc7d11ee9614e7cb54c94fa8&amp;refType=RQ&amp;originationContext=document&amp;vr=3.0&amp;rs=cblt1.0&amp;transitionType=DocumentItem&amp;contextData=(sc.Search)" TargetMode="External"/><Relationship Id="rId14" Type="http://schemas.openxmlformats.org/officeDocument/2006/relationships/hyperlink" Target="https://www.westlaw.com/Link/Document/FullText?findType=L&amp;pubNum=1005474&amp;cite=MIRRCPMCR2.116&amp;originatingDoc=I2b831990bc7d11ee9614e7cb54c94fa8&amp;refType=LQ&amp;originationContext=document&amp;vr=3.0&amp;rs=cblt1.0&amp;transitionType=DocumentItem&amp;contextData=(sc.Search)" TargetMode="External"/><Relationship Id="rId22" Type="http://schemas.openxmlformats.org/officeDocument/2006/relationships/hyperlink" Target="https://www.westlaw.com/Link/Document/FullText?findType=Y&amp;serNum=1965117894&amp;pubNum=0000542&amp;originatingDoc=I2b831990bc7d11ee9614e7cb54c94fa8&amp;refType=RP&amp;fi=co_pp_sp_542_372&amp;originationContext=document&amp;vr=3.0&amp;rs=cblt1.0&amp;transitionType=DocumentItem&amp;contextData=(sc.Search)"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BD7EDE344AF4AB2ABA91E2B63262F" ma:contentTypeVersion="17" ma:contentTypeDescription="Create a new document." ma:contentTypeScope="" ma:versionID="2c318d720b6acc8b930b77425404487c">
  <xsd:schema xmlns:xsd="http://www.w3.org/2001/XMLSchema" xmlns:xs="http://www.w3.org/2001/XMLSchema" xmlns:p="http://schemas.microsoft.com/office/2006/metadata/properties" xmlns:ns3="04c5ca7a-a5c9-48ef-961d-fab986c5cc46" xmlns:ns4="6f561f2e-b660-40b0-ba51-6d975c4c5a0d" targetNamespace="http://schemas.microsoft.com/office/2006/metadata/properties" ma:root="true" ma:fieldsID="92b84dc6731edab2ea6a8f8473dd814f" ns3:_="" ns4:_="">
    <xsd:import namespace="04c5ca7a-a5c9-48ef-961d-fab986c5cc46"/>
    <xsd:import namespace="6f561f2e-b660-40b0-ba51-6d975c4c5a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5ca7a-a5c9-48ef-961d-fab986c5c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61f2e-b660-40b0-ba51-6d975c4c5a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561f2e-b660-40b0-ba51-6d975c4c5a0d" xsi:nil="true"/>
  </documentManagement>
</p:properties>
</file>

<file path=customXml/itemProps1.xml><?xml version="1.0" encoding="utf-8"?>
<ds:datastoreItem xmlns:ds="http://schemas.openxmlformats.org/officeDocument/2006/customXml" ds:itemID="{1A79A7D1-37D2-4D87-90C6-307A0345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5ca7a-a5c9-48ef-961d-fab986c5cc46"/>
    <ds:schemaRef ds:uri="6f561f2e-b660-40b0-ba51-6d975c4c5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7B4A5-54F9-4D77-953C-74ADB014FBAC}">
  <ds:schemaRefs>
    <ds:schemaRef ds:uri="http://schemas.microsoft.com/sharepoint/v3/contenttype/forms"/>
  </ds:schemaRefs>
</ds:datastoreItem>
</file>

<file path=customXml/itemProps3.xml><?xml version="1.0" encoding="utf-8"?>
<ds:datastoreItem xmlns:ds="http://schemas.openxmlformats.org/officeDocument/2006/customXml" ds:itemID="{B36EE4A4-B822-4327-8CBA-E16F3C4CBF80}">
  <ds:schemaRefs>
    <ds:schemaRef ds:uri="http://schemas.microsoft.com/office/2006/metadata/properties"/>
    <ds:schemaRef ds:uri="http://schemas.microsoft.com/office/infopath/2007/PartnerControls"/>
    <ds:schemaRef ds:uri="6f561f2e-b660-40b0-ba51-6d975c4c5a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2083</Words>
  <Characters>11875</Characters>
  <Application>Microsoft Office Word</Application>
  <DocSecurity>0</DocSecurity>
  <Lines>98</Lines>
  <Paragraphs>27</Paragraphs>
  <ScaleCrop>false</ScaleCrop>
  <Company>Cleveland State University</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Stump</cp:lastModifiedBy>
  <cp:revision>2</cp:revision>
  <dcterms:created xsi:type="dcterms:W3CDTF">2024-02-21T13:38:00Z</dcterms:created>
  <dcterms:modified xsi:type="dcterms:W3CDTF">2024-02-21T13:38:00Z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0x010100331BD7EDE344AF4AB2ABA91E2B63262F</vt:lpwstr>
  </property>
</Properties>
</file>